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496"/>
        <w:gridCol w:w="8678"/>
      </w:tblGrid>
      <w:tr w:rsidR="005C52FB" w:rsidRPr="005C52FB" w14:paraId="6EBC514A" w14:textId="77777777" w:rsidTr="004C21DB">
        <w:tc>
          <w:tcPr>
            <w:tcW w:w="284" w:type="dxa"/>
            <w:shd w:val="clear" w:color="auto" w:fill="auto"/>
          </w:tcPr>
          <w:p w14:paraId="78EFB3A0" w14:textId="6D2B4599" w:rsidR="005C52FB" w:rsidRPr="005C52FB" w:rsidRDefault="00A62D3B" w:rsidP="005C52FB">
            <w:pPr>
              <w:spacing w:line="276" w:lineRule="auto"/>
              <w:rPr>
                <w:b/>
              </w:rPr>
            </w:pPr>
            <w:r>
              <w:rPr>
                <w:noProof/>
              </w:rPr>
              <w:drawing>
                <wp:inline distT="0" distB="0" distL="0" distR="0" wp14:anchorId="4987789F" wp14:editId="25D2A85E">
                  <wp:extent cx="812800" cy="1270000"/>
                  <wp:effectExtent l="0" t="0" r="0" b="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1270000"/>
                          </a:xfrm>
                          <a:prstGeom prst="rect">
                            <a:avLst/>
                          </a:prstGeom>
                          <a:noFill/>
                          <a:ln>
                            <a:noFill/>
                          </a:ln>
                        </pic:spPr>
                      </pic:pic>
                    </a:graphicData>
                  </a:graphic>
                </wp:inline>
              </w:drawing>
            </w:r>
          </w:p>
        </w:tc>
        <w:tc>
          <w:tcPr>
            <w:tcW w:w="8678" w:type="dxa"/>
            <w:shd w:val="clear" w:color="auto" w:fill="auto"/>
          </w:tcPr>
          <w:p w14:paraId="15F835FA" w14:textId="184DDA03" w:rsidR="004C21DB" w:rsidRPr="00630638" w:rsidRDefault="00630638" w:rsidP="004C21DB">
            <w:pPr>
              <w:spacing w:line="276" w:lineRule="auto"/>
              <w:jc w:val="center"/>
              <w:rPr>
                <w:b/>
                <w:lang w:val="en-GB"/>
              </w:rPr>
            </w:pPr>
            <w:r w:rsidRPr="00630638">
              <w:rPr>
                <w:b/>
                <w:lang w:val="en-GB"/>
              </w:rPr>
              <w:t>Appendix No 1 of 25 January 2021</w:t>
            </w:r>
          </w:p>
          <w:p w14:paraId="2EE05420" w14:textId="77777777" w:rsidR="004C21DB" w:rsidRPr="00630638" w:rsidRDefault="004C21DB" w:rsidP="004C21DB">
            <w:pPr>
              <w:spacing w:line="276" w:lineRule="auto"/>
              <w:jc w:val="center"/>
              <w:rPr>
                <w:b/>
                <w:lang w:val="en-GB"/>
              </w:rPr>
            </w:pPr>
          </w:p>
          <w:p w14:paraId="624E97D1" w14:textId="37095503" w:rsidR="00630638" w:rsidRPr="00630638" w:rsidRDefault="00630638" w:rsidP="00630638">
            <w:pPr>
              <w:spacing w:line="276" w:lineRule="auto"/>
              <w:jc w:val="center"/>
              <w:rPr>
                <w:b/>
                <w:lang w:val="en-GB"/>
              </w:rPr>
            </w:pPr>
            <w:r w:rsidRPr="00630638">
              <w:rPr>
                <w:b/>
                <w:lang w:val="en-GB"/>
              </w:rPr>
              <w:t>to the ANNOUNCEMENT</w:t>
            </w:r>
          </w:p>
          <w:p w14:paraId="7C23075C" w14:textId="6D8A1352" w:rsidR="00630638" w:rsidRPr="00630638" w:rsidRDefault="00630638" w:rsidP="00630638">
            <w:pPr>
              <w:spacing w:line="276" w:lineRule="auto"/>
              <w:jc w:val="center"/>
              <w:rPr>
                <w:b/>
                <w:lang w:val="en-GB"/>
              </w:rPr>
            </w:pPr>
            <w:r w:rsidRPr="00630638">
              <w:rPr>
                <w:b/>
                <w:lang w:val="en-GB"/>
              </w:rPr>
              <w:t>of the Vice-Rector for Education of TUL</w:t>
            </w:r>
          </w:p>
          <w:p w14:paraId="7BC2E009" w14:textId="77777777" w:rsidR="00630638" w:rsidRPr="00630638" w:rsidRDefault="00630638" w:rsidP="00630638">
            <w:pPr>
              <w:spacing w:line="276" w:lineRule="auto"/>
              <w:jc w:val="center"/>
              <w:rPr>
                <w:b/>
                <w:lang w:val="en-GB"/>
              </w:rPr>
            </w:pPr>
            <w:r w:rsidRPr="00630638">
              <w:rPr>
                <w:b/>
                <w:lang w:val="en-GB"/>
              </w:rPr>
              <w:t>of 30 June 2020</w:t>
            </w:r>
          </w:p>
          <w:p w14:paraId="61B4B6DA" w14:textId="599BF41C" w:rsidR="00630638" w:rsidRPr="00630638" w:rsidRDefault="00630638" w:rsidP="00630638">
            <w:pPr>
              <w:spacing w:line="276" w:lineRule="auto"/>
              <w:jc w:val="center"/>
              <w:rPr>
                <w:b/>
                <w:lang w:val="en-GB"/>
              </w:rPr>
            </w:pPr>
            <w:r w:rsidRPr="00630638">
              <w:rPr>
                <w:b/>
                <w:lang w:val="en-GB"/>
              </w:rPr>
              <w:t xml:space="preserve">on the fees for educational services and other services provided at full-time and part-time first-cycle and second-cycle degree programmes </w:t>
            </w:r>
          </w:p>
          <w:p w14:paraId="1ECB0CF2" w14:textId="6B917852" w:rsidR="005C52FB" w:rsidRPr="005C52FB" w:rsidRDefault="00630638" w:rsidP="00630638">
            <w:pPr>
              <w:spacing w:line="276" w:lineRule="auto"/>
              <w:jc w:val="center"/>
              <w:rPr>
                <w:b/>
              </w:rPr>
            </w:pPr>
            <w:r w:rsidRPr="00630638">
              <w:rPr>
                <w:b/>
                <w:lang w:val="en-GB"/>
              </w:rPr>
              <w:t>at Lodz University of Technology in the academic year 2020/2021 charged to non-Polish citizens (foreigners) not listed in Article 324(2) of the Act of 20 July 2018  Law on Higher Education and Science</w:t>
            </w:r>
          </w:p>
        </w:tc>
      </w:tr>
    </w:tbl>
    <w:p w14:paraId="7A5C717A" w14:textId="77777777" w:rsidR="005C52FB" w:rsidRDefault="005C52FB" w:rsidP="00E66341">
      <w:pPr>
        <w:spacing w:line="276" w:lineRule="auto"/>
        <w:jc w:val="center"/>
        <w:rPr>
          <w:b/>
        </w:rPr>
      </w:pPr>
    </w:p>
    <w:p w14:paraId="0DA2C540" w14:textId="77777777" w:rsidR="00B46831" w:rsidRDefault="00B46831" w:rsidP="00833AD7">
      <w:pPr>
        <w:ind w:right="-72"/>
        <w:jc w:val="center"/>
        <w:rPr>
          <w:caps/>
        </w:rPr>
      </w:pPr>
    </w:p>
    <w:p w14:paraId="63F783E7" w14:textId="77777777" w:rsidR="000A43C9" w:rsidRDefault="000A43C9" w:rsidP="00833AD7">
      <w:pPr>
        <w:ind w:right="-72"/>
        <w:jc w:val="center"/>
        <w:rPr>
          <w:caps/>
        </w:rPr>
      </w:pPr>
    </w:p>
    <w:p w14:paraId="55FB0D01" w14:textId="2D9ED039" w:rsidR="00630638" w:rsidRPr="00174DD7" w:rsidRDefault="00630638" w:rsidP="00630638">
      <w:pPr>
        <w:jc w:val="both"/>
        <w:rPr>
          <w:sz w:val="26"/>
          <w:szCs w:val="26"/>
          <w:lang w:val="en-GB"/>
        </w:rPr>
      </w:pPr>
      <w:r w:rsidRPr="00174DD7">
        <w:rPr>
          <w:sz w:val="26"/>
          <w:szCs w:val="26"/>
          <w:lang w:val="en-GB"/>
        </w:rPr>
        <w:t xml:space="preserve">The </w:t>
      </w:r>
      <w:r w:rsidR="00174DD7" w:rsidRPr="00174DD7">
        <w:rPr>
          <w:sz w:val="26"/>
          <w:szCs w:val="26"/>
          <w:lang w:val="en-GB"/>
        </w:rPr>
        <w:t xml:space="preserve">Announcement </w:t>
      </w:r>
      <w:r w:rsidRPr="00174DD7">
        <w:rPr>
          <w:sz w:val="26"/>
          <w:szCs w:val="26"/>
          <w:lang w:val="en-GB"/>
        </w:rPr>
        <w:t xml:space="preserve">of the Vice-Rector for Education of </w:t>
      </w:r>
      <w:r w:rsidR="00174DD7">
        <w:rPr>
          <w:sz w:val="26"/>
          <w:szCs w:val="26"/>
          <w:lang w:val="en-GB"/>
        </w:rPr>
        <w:t>Lodz</w:t>
      </w:r>
      <w:r w:rsidRPr="00174DD7">
        <w:rPr>
          <w:sz w:val="26"/>
          <w:szCs w:val="26"/>
          <w:lang w:val="en-GB"/>
        </w:rPr>
        <w:t xml:space="preserve"> University of </w:t>
      </w:r>
      <w:r w:rsidR="00174DD7">
        <w:rPr>
          <w:sz w:val="26"/>
          <w:szCs w:val="26"/>
          <w:lang w:val="en-GB"/>
        </w:rPr>
        <w:t xml:space="preserve">Technology </w:t>
      </w:r>
      <w:r w:rsidRPr="00174DD7">
        <w:rPr>
          <w:sz w:val="26"/>
          <w:szCs w:val="26"/>
          <w:lang w:val="en-GB"/>
        </w:rPr>
        <w:t xml:space="preserve">of 30 June 2020 on fees for educational services and other services provided at full-time and part-time first-cycle and second-cycle degree programmes at </w:t>
      </w:r>
      <w:r w:rsidR="00174DD7">
        <w:rPr>
          <w:sz w:val="26"/>
          <w:szCs w:val="26"/>
          <w:lang w:val="en-GB"/>
        </w:rPr>
        <w:t>Lodz</w:t>
      </w:r>
      <w:r w:rsidR="00174DD7" w:rsidRPr="00174DD7">
        <w:rPr>
          <w:sz w:val="26"/>
          <w:szCs w:val="26"/>
          <w:lang w:val="en-GB"/>
        </w:rPr>
        <w:t xml:space="preserve"> University of </w:t>
      </w:r>
      <w:r w:rsidR="00174DD7">
        <w:rPr>
          <w:sz w:val="26"/>
          <w:szCs w:val="26"/>
          <w:lang w:val="en-GB"/>
        </w:rPr>
        <w:t xml:space="preserve">Technology </w:t>
      </w:r>
      <w:r w:rsidRPr="00174DD7">
        <w:rPr>
          <w:sz w:val="26"/>
          <w:szCs w:val="26"/>
          <w:lang w:val="en-GB"/>
        </w:rPr>
        <w:t>in the academic year 2020/2021 charged to non-Polish citizens (foreigners) not listed in Article 324</w:t>
      </w:r>
      <w:r w:rsidR="00174DD7">
        <w:rPr>
          <w:sz w:val="26"/>
          <w:szCs w:val="26"/>
          <w:lang w:val="en-GB"/>
        </w:rPr>
        <w:t xml:space="preserve">(2) of the Act of 20 July 2018 </w:t>
      </w:r>
      <w:r w:rsidR="00174DD7" w:rsidRPr="00174DD7">
        <w:rPr>
          <w:sz w:val="26"/>
          <w:szCs w:val="26"/>
          <w:lang w:val="en-GB"/>
        </w:rPr>
        <w:t>–</w:t>
      </w:r>
      <w:r w:rsidRPr="00174DD7">
        <w:rPr>
          <w:sz w:val="26"/>
          <w:szCs w:val="26"/>
          <w:lang w:val="en-GB"/>
        </w:rPr>
        <w:t xml:space="preserve"> Law on Higher Education and Science</w:t>
      </w:r>
      <w:r w:rsidR="00174DD7">
        <w:rPr>
          <w:sz w:val="26"/>
          <w:szCs w:val="26"/>
          <w:lang w:val="en-GB"/>
        </w:rPr>
        <w:t>,</w:t>
      </w:r>
      <w:r w:rsidRPr="00174DD7">
        <w:rPr>
          <w:sz w:val="26"/>
          <w:szCs w:val="26"/>
          <w:lang w:val="en-GB"/>
        </w:rPr>
        <w:t xml:space="preserve"> is amended as follows:</w:t>
      </w:r>
    </w:p>
    <w:p w14:paraId="3C5ADDA3" w14:textId="01D4BA6E" w:rsidR="004C21DB" w:rsidRPr="00174DD7" w:rsidRDefault="004C21DB" w:rsidP="00630638">
      <w:pPr>
        <w:jc w:val="both"/>
        <w:rPr>
          <w:sz w:val="26"/>
          <w:szCs w:val="26"/>
          <w:lang w:val="en-GB"/>
        </w:rPr>
      </w:pPr>
    </w:p>
    <w:p w14:paraId="4FED2021" w14:textId="77777777" w:rsidR="004C21DB" w:rsidRPr="00174DD7" w:rsidRDefault="004C21DB" w:rsidP="004C21DB">
      <w:pPr>
        <w:jc w:val="both"/>
        <w:rPr>
          <w:sz w:val="26"/>
          <w:szCs w:val="26"/>
          <w:lang w:val="en-GB"/>
        </w:rPr>
      </w:pPr>
    </w:p>
    <w:p w14:paraId="04F58EC9" w14:textId="756E6CCE" w:rsidR="004C21DB" w:rsidRPr="00174DD7" w:rsidRDefault="00174DD7" w:rsidP="004C21DB">
      <w:pPr>
        <w:jc w:val="both"/>
        <w:rPr>
          <w:sz w:val="26"/>
          <w:szCs w:val="26"/>
          <w:lang w:val="en-GB"/>
        </w:rPr>
      </w:pPr>
      <w:r>
        <w:rPr>
          <w:sz w:val="26"/>
          <w:szCs w:val="26"/>
          <w:lang w:val="en-GB"/>
        </w:rPr>
        <w:t>1. I (4) shall have the following wording</w:t>
      </w:r>
      <w:r w:rsidR="004C21DB" w:rsidRPr="00174DD7">
        <w:rPr>
          <w:sz w:val="26"/>
          <w:szCs w:val="26"/>
          <w:lang w:val="en-GB"/>
        </w:rPr>
        <w:t>:</w:t>
      </w:r>
    </w:p>
    <w:p w14:paraId="5B735CF4" w14:textId="77777777" w:rsidR="004C21DB" w:rsidRPr="00174DD7" w:rsidRDefault="004C21DB" w:rsidP="004C21DB">
      <w:pPr>
        <w:jc w:val="both"/>
        <w:rPr>
          <w:sz w:val="26"/>
          <w:szCs w:val="26"/>
          <w:lang w:val="en-GB"/>
        </w:rPr>
      </w:pPr>
    </w:p>
    <w:p w14:paraId="73C1F5B9" w14:textId="6CED6D29" w:rsidR="004C21DB" w:rsidRPr="00174DD7" w:rsidRDefault="00174DD7" w:rsidP="00174DD7">
      <w:pPr>
        <w:jc w:val="both"/>
        <w:rPr>
          <w:sz w:val="26"/>
          <w:szCs w:val="26"/>
          <w:lang w:val="en-GB"/>
        </w:rPr>
      </w:pPr>
      <w:r w:rsidRPr="00174DD7">
        <w:rPr>
          <w:sz w:val="26"/>
          <w:szCs w:val="26"/>
          <w:lang w:val="en-GB"/>
        </w:rPr>
        <w:t xml:space="preserve">"The </w:t>
      </w:r>
      <w:r>
        <w:rPr>
          <w:sz w:val="26"/>
          <w:szCs w:val="26"/>
          <w:lang w:val="en-GB"/>
        </w:rPr>
        <w:t xml:space="preserve">relevant </w:t>
      </w:r>
      <w:r w:rsidRPr="00174DD7">
        <w:rPr>
          <w:sz w:val="26"/>
          <w:szCs w:val="26"/>
          <w:lang w:val="en-GB"/>
        </w:rPr>
        <w:t xml:space="preserve">Vice-Dean </w:t>
      </w:r>
      <w:r>
        <w:rPr>
          <w:sz w:val="26"/>
          <w:szCs w:val="26"/>
          <w:lang w:val="en-GB"/>
        </w:rPr>
        <w:t>for Student A</w:t>
      </w:r>
      <w:r w:rsidRPr="00174DD7">
        <w:rPr>
          <w:sz w:val="26"/>
          <w:szCs w:val="26"/>
          <w:lang w:val="en-GB"/>
        </w:rPr>
        <w:t xml:space="preserve">ffairs may establish instalment payments for the repetition of classes or semester, and in justified cases establish partial or full fee exemption for the student in accordance with the Resolution upon the student's </w:t>
      </w:r>
      <w:r w:rsidR="003466AA">
        <w:rPr>
          <w:sz w:val="26"/>
          <w:szCs w:val="26"/>
          <w:lang w:val="en-GB"/>
        </w:rPr>
        <w:t>request</w:t>
      </w:r>
      <w:r w:rsidRPr="00174DD7">
        <w:rPr>
          <w:sz w:val="26"/>
          <w:szCs w:val="26"/>
          <w:lang w:val="en-GB"/>
        </w:rPr>
        <w:t xml:space="preserve">, which </w:t>
      </w:r>
      <w:r w:rsidR="003466AA">
        <w:rPr>
          <w:sz w:val="26"/>
          <w:szCs w:val="26"/>
          <w:lang w:val="en-GB"/>
        </w:rPr>
        <w:t>constitutes</w:t>
      </w:r>
      <w:r w:rsidRPr="00174DD7">
        <w:rPr>
          <w:sz w:val="26"/>
          <w:szCs w:val="26"/>
          <w:lang w:val="en-GB"/>
        </w:rPr>
        <w:t xml:space="preserve"> an Appendix to the Announcement, submitted to the appropriate Dean's Office/Student Affairs Office. The </w:t>
      </w:r>
      <w:r w:rsidR="003466AA">
        <w:rPr>
          <w:sz w:val="26"/>
          <w:szCs w:val="26"/>
          <w:lang w:val="en-GB"/>
        </w:rPr>
        <w:t>request</w:t>
      </w:r>
      <w:r w:rsidRPr="00174DD7">
        <w:rPr>
          <w:sz w:val="26"/>
          <w:szCs w:val="26"/>
          <w:lang w:val="en-GB"/>
        </w:rPr>
        <w:t>s of students pursui</w:t>
      </w:r>
      <w:r w:rsidR="003466AA">
        <w:rPr>
          <w:sz w:val="26"/>
          <w:szCs w:val="26"/>
          <w:lang w:val="en-GB"/>
        </w:rPr>
        <w:t xml:space="preserve">ng studies </w:t>
      </w:r>
      <w:r w:rsidRPr="00174DD7">
        <w:rPr>
          <w:sz w:val="26"/>
          <w:szCs w:val="26"/>
          <w:lang w:val="en-GB"/>
        </w:rPr>
        <w:t xml:space="preserve">at the </w:t>
      </w:r>
      <w:r w:rsidR="003466AA">
        <w:rPr>
          <w:sz w:val="26"/>
          <w:szCs w:val="26"/>
          <w:lang w:val="en-GB"/>
        </w:rPr>
        <w:t>International Faculty of Engineering</w:t>
      </w:r>
      <w:r w:rsidRPr="00174DD7">
        <w:rPr>
          <w:sz w:val="26"/>
          <w:szCs w:val="26"/>
          <w:lang w:val="en-GB"/>
        </w:rPr>
        <w:t xml:space="preserve"> </w:t>
      </w:r>
      <w:r w:rsidR="003466AA">
        <w:rPr>
          <w:sz w:val="26"/>
          <w:szCs w:val="26"/>
          <w:lang w:val="en-GB"/>
        </w:rPr>
        <w:t>of Lodz</w:t>
      </w:r>
      <w:r w:rsidRPr="00174DD7">
        <w:rPr>
          <w:sz w:val="26"/>
          <w:szCs w:val="26"/>
          <w:lang w:val="en-GB"/>
        </w:rPr>
        <w:t xml:space="preserve"> University of Technology require, before being considered, the opinion of</w:t>
      </w:r>
      <w:r w:rsidR="003466AA">
        <w:rPr>
          <w:sz w:val="26"/>
          <w:szCs w:val="26"/>
          <w:lang w:val="en-GB"/>
        </w:rPr>
        <w:t xml:space="preserve"> the Director of the </w:t>
      </w:r>
      <w:r w:rsidRPr="00174DD7">
        <w:rPr>
          <w:sz w:val="26"/>
          <w:szCs w:val="26"/>
          <w:lang w:val="en-GB"/>
        </w:rPr>
        <w:t xml:space="preserve">International Cooperation </w:t>
      </w:r>
      <w:r w:rsidR="003466AA">
        <w:rPr>
          <w:sz w:val="26"/>
          <w:szCs w:val="26"/>
          <w:lang w:val="en-GB"/>
        </w:rPr>
        <w:t xml:space="preserve">Centre </w:t>
      </w:r>
      <w:r w:rsidRPr="00174DD7">
        <w:rPr>
          <w:sz w:val="26"/>
          <w:szCs w:val="26"/>
          <w:lang w:val="en-GB"/>
        </w:rPr>
        <w:t xml:space="preserve">of </w:t>
      </w:r>
      <w:r w:rsidR="003466AA">
        <w:rPr>
          <w:sz w:val="26"/>
          <w:szCs w:val="26"/>
          <w:lang w:val="en-GB"/>
        </w:rPr>
        <w:t>Lodz</w:t>
      </w:r>
      <w:r w:rsidRPr="00174DD7">
        <w:rPr>
          <w:sz w:val="26"/>
          <w:szCs w:val="26"/>
          <w:lang w:val="en-GB"/>
        </w:rPr>
        <w:t xml:space="preserve"> University of Technology."</w:t>
      </w:r>
    </w:p>
    <w:p w14:paraId="490059C1" w14:textId="77777777" w:rsidR="004C21DB" w:rsidRPr="00174DD7" w:rsidRDefault="004C21DB" w:rsidP="004C21DB">
      <w:pPr>
        <w:jc w:val="both"/>
        <w:rPr>
          <w:sz w:val="26"/>
          <w:szCs w:val="26"/>
          <w:lang w:val="en-GB"/>
        </w:rPr>
      </w:pPr>
    </w:p>
    <w:p w14:paraId="72FCA86C" w14:textId="2A84FA9B" w:rsidR="004C21DB" w:rsidRPr="00174DD7" w:rsidRDefault="00B20954" w:rsidP="004C21DB">
      <w:pPr>
        <w:jc w:val="both"/>
        <w:rPr>
          <w:sz w:val="26"/>
          <w:szCs w:val="26"/>
          <w:lang w:val="en-GB"/>
        </w:rPr>
      </w:pPr>
      <w:r>
        <w:rPr>
          <w:sz w:val="26"/>
          <w:szCs w:val="26"/>
          <w:lang w:val="en-GB"/>
        </w:rPr>
        <w:t>2. I (5) shall have the following wording</w:t>
      </w:r>
      <w:r w:rsidRPr="00174DD7">
        <w:rPr>
          <w:sz w:val="26"/>
          <w:szCs w:val="26"/>
          <w:lang w:val="en-GB"/>
        </w:rPr>
        <w:t>:</w:t>
      </w:r>
    </w:p>
    <w:p w14:paraId="255AA28A" w14:textId="77777777" w:rsidR="004C21DB" w:rsidRPr="00174DD7" w:rsidRDefault="004C21DB" w:rsidP="004C21DB">
      <w:pPr>
        <w:jc w:val="both"/>
        <w:rPr>
          <w:sz w:val="26"/>
          <w:szCs w:val="26"/>
          <w:lang w:val="en-GB"/>
        </w:rPr>
      </w:pPr>
    </w:p>
    <w:p w14:paraId="41E1900D" w14:textId="79FF1277" w:rsidR="000A43C9" w:rsidRPr="00174DD7" w:rsidRDefault="000A43C9" w:rsidP="000A43C9">
      <w:pPr>
        <w:jc w:val="both"/>
        <w:rPr>
          <w:sz w:val="26"/>
          <w:szCs w:val="26"/>
          <w:lang w:val="en-GB"/>
        </w:rPr>
      </w:pPr>
      <w:r w:rsidRPr="000A43C9">
        <w:rPr>
          <w:sz w:val="26"/>
          <w:szCs w:val="26"/>
          <w:lang w:val="en-GB"/>
        </w:rPr>
        <w:t xml:space="preserve">The student is subject to a total exemption from the fees charged in the academic year 2020/21 for the repetition of certain classes, the reason for not obtaining credit for which was the confirmed lack of completion of classes or </w:t>
      </w:r>
      <w:r>
        <w:rPr>
          <w:sz w:val="26"/>
          <w:szCs w:val="26"/>
          <w:lang w:val="en-GB"/>
        </w:rPr>
        <w:t xml:space="preserve">final tests </w:t>
      </w:r>
      <w:r w:rsidRPr="000A43C9">
        <w:rPr>
          <w:sz w:val="26"/>
          <w:szCs w:val="26"/>
          <w:lang w:val="en-GB"/>
        </w:rPr>
        <w:t xml:space="preserve">/examinations in the course in the summer semester 2019/20, or the student's inability to participate in classes, </w:t>
      </w:r>
      <w:r>
        <w:rPr>
          <w:sz w:val="26"/>
          <w:szCs w:val="26"/>
          <w:lang w:val="en-GB"/>
        </w:rPr>
        <w:t xml:space="preserve">final tests </w:t>
      </w:r>
      <w:r w:rsidRPr="000A43C9">
        <w:rPr>
          <w:sz w:val="26"/>
          <w:szCs w:val="26"/>
          <w:lang w:val="en-GB"/>
        </w:rPr>
        <w:t>or examinations conducted using distance learning techniques and methods applied due to the suspension of classes at the university in the summer semester of the academic year 2019/20 cause</w:t>
      </w:r>
      <w:r>
        <w:rPr>
          <w:sz w:val="26"/>
          <w:szCs w:val="26"/>
          <w:lang w:val="en-GB"/>
        </w:rPr>
        <w:t>d by the SARS-CoV-2 virus</w:t>
      </w:r>
      <w:r w:rsidRPr="000A43C9">
        <w:rPr>
          <w:sz w:val="26"/>
          <w:szCs w:val="26"/>
          <w:lang w:val="en-GB"/>
        </w:rPr>
        <w:t xml:space="preserve">. The decision to waive fees for this reason is made individually for each </w:t>
      </w:r>
      <w:r>
        <w:rPr>
          <w:sz w:val="26"/>
          <w:szCs w:val="26"/>
          <w:lang w:val="en-GB"/>
        </w:rPr>
        <w:t>student by the relevant Dean for Student A</w:t>
      </w:r>
      <w:r w:rsidRPr="000A43C9">
        <w:rPr>
          <w:sz w:val="26"/>
          <w:szCs w:val="26"/>
          <w:lang w:val="en-GB"/>
        </w:rPr>
        <w:t xml:space="preserve">ffairs, on his/her own initiative or at the written request of the student submitted before the deadline for payment of the accrued fee. </w:t>
      </w:r>
      <w:r w:rsidRPr="00174DD7">
        <w:rPr>
          <w:sz w:val="26"/>
          <w:szCs w:val="26"/>
          <w:lang w:val="en-GB"/>
        </w:rPr>
        <w:t xml:space="preserve">The </w:t>
      </w:r>
      <w:r>
        <w:rPr>
          <w:sz w:val="26"/>
          <w:szCs w:val="26"/>
          <w:lang w:val="en-GB"/>
        </w:rPr>
        <w:t>request</w:t>
      </w:r>
      <w:r w:rsidRPr="00174DD7">
        <w:rPr>
          <w:sz w:val="26"/>
          <w:szCs w:val="26"/>
          <w:lang w:val="en-GB"/>
        </w:rPr>
        <w:t>s of students pursui</w:t>
      </w:r>
      <w:r>
        <w:rPr>
          <w:sz w:val="26"/>
          <w:szCs w:val="26"/>
          <w:lang w:val="en-GB"/>
        </w:rPr>
        <w:t xml:space="preserve">ng studies </w:t>
      </w:r>
      <w:r w:rsidRPr="00174DD7">
        <w:rPr>
          <w:sz w:val="26"/>
          <w:szCs w:val="26"/>
          <w:lang w:val="en-GB"/>
        </w:rPr>
        <w:t xml:space="preserve">at the </w:t>
      </w:r>
      <w:r>
        <w:rPr>
          <w:sz w:val="26"/>
          <w:szCs w:val="26"/>
          <w:lang w:val="en-GB"/>
        </w:rPr>
        <w:t>International Faculty of Engineering</w:t>
      </w:r>
      <w:r w:rsidRPr="00174DD7">
        <w:rPr>
          <w:sz w:val="26"/>
          <w:szCs w:val="26"/>
          <w:lang w:val="en-GB"/>
        </w:rPr>
        <w:t xml:space="preserve"> </w:t>
      </w:r>
      <w:r>
        <w:rPr>
          <w:sz w:val="26"/>
          <w:szCs w:val="26"/>
          <w:lang w:val="en-GB"/>
        </w:rPr>
        <w:t>of Lodz</w:t>
      </w:r>
      <w:r w:rsidRPr="00174DD7">
        <w:rPr>
          <w:sz w:val="26"/>
          <w:szCs w:val="26"/>
          <w:lang w:val="en-GB"/>
        </w:rPr>
        <w:t xml:space="preserve"> University of Technology require, before being considered, the opinion of</w:t>
      </w:r>
      <w:r>
        <w:rPr>
          <w:sz w:val="26"/>
          <w:szCs w:val="26"/>
          <w:lang w:val="en-GB"/>
        </w:rPr>
        <w:t xml:space="preserve"> the Director of the </w:t>
      </w:r>
      <w:r w:rsidRPr="00174DD7">
        <w:rPr>
          <w:sz w:val="26"/>
          <w:szCs w:val="26"/>
          <w:lang w:val="en-GB"/>
        </w:rPr>
        <w:t xml:space="preserve">International Cooperation </w:t>
      </w:r>
      <w:r>
        <w:rPr>
          <w:sz w:val="26"/>
          <w:szCs w:val="26"/>
          <w:lang w:val="en-GB"/>
        </w:rPr>
        <w:t xml:space="preserve">Centre </w:t>
      </w:r>
      <w:r w:rsidRPr="00174DD7">
        <w:rPr>
          <w:sz w:val="26"/>
          <w:szCs w:val="26"/>
          <w:lang w:val="en-GB"/>
        </w:rPr>
        <w:t xml:space="preserve">of </w:t>
      </w:r>
      <w:r>
        <w:rPr>
          <w:sz w:val="26"/>
          <w:szCs w:val="26"/>
          <w:lang w:val="en-GB"/>
        </w:rPr>
        <w:t>Lodz</w:t>
      </w:r>
      <w:r w:rsidRPr="00174DD7">
        <w:rPr>
          <w:sz w:val="26"/>
          <w:szCs w:val="26"/>
          <w:lang w:val="en-GB"/>
        </w:rPr>
        <w:t xml:space="preserve"> University of Technology."</w:t>
      </w:r>
    </w:p>
    <w:p w14:paraId="5D47E91F" w14:textId="2C011DD0" w:rsidR="000A43C9" w:rsidRDefault="000A43C9" w:rsidP="004C21DB">
      <w:pPr>
        <w:jc w:val="both"/>
        <w:rPr>
          <w:sz w:val="26"/>
          <w:szCs w:val="26"/>
          <w:lang w:val="en-GB"/>
        </w:rPr>
      </w:pPr>
    </w:p>
    <w:p w14:paraId="05601440" w14:textId="77777777" w:rsidR="000A43C9" w:rsidRDefault="000A43C9" w:rsidP="004C21DB">
      <w:pPr>
        <w:jc w:val="both"/>
        <w:rPr>
          <w:sz w:val="26"/>
          <w:szCs w:val="26"/>
          <w:lang w:val="en-GB"/>
        </w:rPr>
      </w:pPr>
    </w:p>
    <w:p w14:paraId="52496012" w14:textId="77777777" w:rsidR="000A43C9" w:rsidRDefault="000A43C9" w:rsidP="004C21DB">
      <w:pPr>
        <w:jc w:val="both"/>
        <w:rPr>
          <w:sz w:val="26"/>
          <w:szCs w:val="26"/>
          <w:lang w:val="en-GB"/>
        </w:rPr>
      </w:pPr>
    </w:p>
    <w:p w14:paraId="34704EBD" w14:textId="77777777" w:rsidR="000A43C9" w:rsidRDefault="000A43C9" w:rsidP="004C21DB">
      <w:pPr>
        <w:jc w:val="both"/>
        <w:rPr>
          <w:sz w:val="26"/>
          <w:szCs w:val="26"/>
          <w:lang w:val="en-GB"/>
        </w:rPr>
      </w:pPr>
    </w:p>
    <w:p w14:paraId="73390880" w14:textId="2AC72201" w:rsidR="004C21DB" w:rsidRPr="00174DD7" w:rsidRDefault="00B20954" w:rsidP="004C21DB">
      <w:pPr>
        <w:jc w:val="both"/>
        <w:rPr>
          <w:sz w:val="26"/>
          <w:szCs w:val="26"/>
          <w:lang w:val="en-GB"/>
        </w:rPr>
      </w:pPr>
      <w:r>
        <w:rPr>
          <w:sz w:val="26"/>
          <w:szCs w:val="26"/>
          <w:lang w:val="en-GB"/>
        </w:rPr>
        <w:lastRenderedPageBreak/>
        <w:t>3. I (6) shall have the following wording</w:t>
      </w:r>
      <w:r w:rsidRPr="00174DD7">
        <w:rPr>
          <w:sz w:val="26"/>
          <w:szCs w:val="26"/>
          <w:lang w:val="en-GB"/>
        </w:rPr>
        <w:t>:</w:t>
      </w:r>
    </w:p>
    <w:p w14:paraId="3AA75930" w14:textId="77777777" w:rsidR="004C21DB" w:rsidRPr="00174DD7" w:rsidRDefault="004C21DB" w:rsidP="004C21DB">
      <w:pPr>
        <w:jc w:val="both"/>
        <w:rPr>
          <w:sz w:val="26"/>
          <w:szCs w:val="26"/>
          <w:lang w:val="en-GB"/>
        </w:rPr>
      </w:pPr>
    </w:p>
    <w:p w14:paraId="06B64E66" w14:textId="0FB7D8EF" w:rsidR="000A43C9" w:rsidRPr="00174DD7" w:rsidRDefault="000A43C9" w:rsidP="000A43C9">
      <w:pPr>
        <w:jc w:val="both"/>
        <w:rPr>
          <w:sz w:val="26"/>
          <w:szCs w:val="26"/>
          <w:lang w:val="en-GB"/>
        </w:rPr>
      </w:pPr>
      <w:r w:rsidRPr="000A43C9">
        <w:rPr>
          <w:sz w:val="26"/>
          <w:szCs w:val="26"/>
          <w:lang w:val="en-GB"/>
        </w:rPr>
        <w:t xml:space="preserve">A student may be exempted in whole or in part from the fee for repeating the classes necessary to prepare the diploma </w:t>
      </w:r>
      <w:r>
        <w:rPr>
          <w:sz w:val="26"/>
          <w:szCs w:val="26"/>
          <w:lang w:val="en-GB"/>
        </w:rPr>
        <w:t>thesis</w:t>
      </w:r>
      <w:r w:rsidRPr="000A43C9">
        <w:rPr>
          <w:sz w:val="26"/>
          <w:szCs w:val="26"/>
          <w:lang w:val="en-GB"/>
        </w:rPr>
        <w:t xml:space="preserve"> if the reason for not submitting the diploma paper on time was the lack of possibility to perform the activities necessary to prepare the </w:t>
      </w:r>
      <w:r>
        <w:rPr>
          <w:sz w:val="26"/>
          <w:szCs w:val="26"/>
          <w:lang w:val="en-GB"/>
        </w:rPr>
        <w:t>thesis</w:t>
      </w:r>
      <w:r w:rsidRPr="000A43C9">
        <w:rPr>
          <w:sz w:val="26"/>
          <w:szCs w:val="26"/>
          <w:lang w:val="en-GB"/>
        </w:rPr>
        <w:t xml:space="preserve"> due to the threat of SARS-CoV-2 virus. A decision on exemption from the fee for this reason is made individually for each student by the </w:t>
      </w:r>
      <w:r>
        <w:rPr>
          <w:sz w:val="26"/>
          <w:szCs w:val="26"/>
          <w:lang w:val="en-GB"/>
        </w:rPr>
        <w:t>relevant Dean for Student A</w:t>
      </w:r>
      <w:r w:rsidRPr="000A43C9">
        <w:rPr>
          <w:sz w:val="26"/>
          <w:szCs w:val="26"/>
          <w:lang w:val="en-GB"/>
        </w:rPr>
        <w:t xml:space="preserve">ffairs, upon the student's written </w:t>
      </w:r>
      <w:r w:rsidR="007105AD">
        <w:rPr>
          <w:sz w:val="26"/>
          <w:szCs w:val="26"/>
          <w:lang w:val="en-GB"/>
        </w:rPr>
        <w:t>request</w:t>
      </w:r>
      <w:r w:rsidRPr="000A43C9">
        <w:rPr>
          <w:sz w:val="26"/>
          <w:szCs w:val="26"/>
          <w:lang w:val="en-GB"/>
        </w:rPr>
        <w:t xml:space="preserve"> supplemented by an opinion of the thesis supervisor, submitted before the obligatory date of submitting the diploma paper. </w:t>
      </w:r>
      <w:r w:rsidR="007105AD" w:rsidRPr="00174DD7">
        <w:rPr>
          <w:sz w:val="26"/>
          <w:szCs w:val="26"/>
          <w:lang w:val="en-GB"/>
        </w:rPr>
        <w:t xml:space="preserve">The </w:t>
      </w:r>
      <w:r w:rsidR="007105AD">
        <w:rPr>
          <w:sz w:val="26"/>
          <w:szCs w:val="26"/>
          <w:lang w:val="en-GB"/>
        </w:rPr>
        <w:t>request</w:t>
      </w:r>
      <w:r w:rsidR="007105AD" w:rsidRPr="00174DD7">
        <w:rPr>
          <w:sz w:val="26"/>
          <w:szCs w:val="26"/>
          <w:lang w:val="en-GB"/>
        </w:rPr>
        <w:t>s of students pursui</w:t>
      </w:r>
      <w:r w:rsidR="007105AD">
        <w:rPr>
          <w:sz w:val="26"/>
          <w:szCs w:val="26"/>
          <w:lang w:val="en-GB"/>
        </w:rPr>
        <w:t xml:space="preserve">ng studies </w:t>
      </w:r>
      <w:r w:rsidR="007105AD" w:rsidRPr="00174DD7">
        <w:rPr>
          <w:sz w:val="26"/>
          <w:szCs w:val="26"/>
          <w:lang w:val="en-GB"/>
        </w:rPr>
        <w:t xml:space="preserve">at the </w:t>
      </w:r>
      <w:r w:rsidR="007105AD">
        <w:rPr>
          <w:sz w:val="26"/>
          <w:szCs w:val="26"/>
          <w:lang w:val="en-GB"/>
        </w:rPr>
        <w:t>International Faculty of Engineering</w:t>
      </w:r>
      <w:r w:rsidR="007105AD" w:rsidRPr="00174DD7">
        <w:rPr>
          <w:sz w:val="26"/>
          <w:szCs w:val="26"/>
          <w:lang w:val="en-GB"/>
        </w:rPr>
        <w:t xml:space="preserve"> </w:t>
      </w:r>
      <w:r w:rsidR="007105AD">
        <w:rPr>
          <w:sz w:val="26"/>
          <w:szCs w:val="26"/>
          <w:lang w:val="en-GB"/>
        </w:rPr>
        <w:t>of Lodz</w:t>
      </w:r>
      <w:r w:rsidR="007105AD" w:rsidRPr="00174DD7">
        <w:rPr>
          <w:sz w:val="26"/>
          <w:szCs w:val="26"/>
          <w:lang w:val="en-GB"/>
        </w:rPr>
        <w:t xml:space="preserve"> University of Technology require, before being considered, the opinion of</w:t>
      </w:r>
      <w:r w:rsidR="007105AD">
        <w:rPr>
          <w:sz w:val="26"/>
          <w:szCs w:val="26"/>
          <w:lang w:val="en-GB"/>
        </w:rPr>
        <w:t xml:space="preserve"> the Director of the </w:t>
      </w:r>
      <w:r w:rsidR="007105AD" w:rsidRPr="00174DD7">
        <w:rPr>
          <w:sz w:val="26"/>
          <w:szCs w:val="26"/>
          <w:lang w:val="en-GB"/>
        </w:rPr>
        <w:t xml:space="preserve">International Cooperation </w:t>
      </w:r>
      <w:r w:rsidR="007105AD">
        <w:rPr>
          <w:sz w:val="26"/>
          <w:szCs w:val="26"/>
          <w:lang w:val="en-GB"/>
        </w:rPr>
        <w:t xml:space="preserve">Centre </w:t>
      </w:r>
      <w:r w:rsidR="007105AD" w:rsidRPr="00174DD7">
        <w:rPr>
          <w:sz w:val="26"/>
          <w:szCs w:val="26"/>
          <w:lang w:val="en-GB"/>
        </w:rPr>
        <w:t xml:space="preserve">of </w:t>
      </w:r>
      <w:r w:rsidR="007105AD">
        <w:rPr>
          <w:sz w:val="26"/>
          <w:szCs w:val="26"/>
          <w:lang w:val="en-GB"/>
        </w:rPr>
        <w:t>Lodz</w:t>
      </w:r>
      <w:r w:rsidR="007105AD" w:rsidRPr="00174DD7">
        <w:rPr>
          <w:sz w:val="26"/>
          <w:szCs w:val="26"/>
          <w:lang w:val="en-GB"/>
        </w:rPr>
        <w:t xml:space="preserve"> University of Technology."</w:t>
      </w:r>
    </w:p>
    <w:p w14:paraId="6B0761E1" w14:textId="77777777" w:rsidR="004C21DB" w:rsidRPr="00174DD7" w:rsidRDefault="004C21DB" w:rsidP="004C21DB">
      <w:pPr>
        <w:jc w:val="both"/>
        <w:rPr>
          <w:sz w:val="26"/>
          <w:szCs w:val="26"/>
          <w:lang w:val="en-GB"/>
        </w:rPr>
      </w:pPr>
    </w:p>
    <w:p w14:paraId="44118F1B" w14:textId="3BC55DB1" w:rsidR="004C21DB" w:rsidRPr="00174DD7" w:rsidRDefault="007105AD" w:rsidP="004C21DB">
      <w:pPr>
        <w:jc w:val="both"/>
        <w:rPr>
          <w:sz w:val="26"/>
          <w:szCs w:val="26"/>
          <w:lang w:val="en-GB"/>
        </w:rPr>
      </w:pPr>
      <w:r>
        <w:rPr>
          <w:sz w:val="26"/>
          <w:szCs w:val="26"/>
          <w:lang w:val="en-GB"/>
        </w:rPr>
        <w:t>4. V (1)(</w:t>
      </w:r>
      <w:r w:rsidR="004C21DB" w:rsidRPr="00174DD7">
        <w:rPr>
          <w:sz w:val="26"/>
          <w:szCs w:val="26"/>
          <w:lang w:val="en-GB"/>
        </w:rPr>
        <w:t>2</w:t>
      </w:r>
      <w:r>
        <w:rPr>
          <w:sz w:val="26"/>
          <w:szCs w:val="26"/>
          <w:lang w:val="en-GB"/>
        </w:rPr>
        <w:t>)</w:t>
      </w:r>
      <w:r w:rsidR="004C21DB" w:rsidRPr="00174DD7">
        <w:rPr>
          <w:sz w:val="26"/>
          <w:szCs w:val="26"/>
          <w:lang w:val="en-GB"/>
        </w:rPr>
        <w:t xml:space="preserve"> </w:t>
      </w:r>
      <w:r>
        <w:rPr>
          <w:sz w:val="26"/>
          <w:szCs w:val="26"/>
          <w:lang w:val="en-GB"/>
        </w:rPr>
        <w:t>shall have the following wording</w:t>
      </w:r>
      <w:r w:rsidRPr="00174DD7">
        <w:rPr>
          <w:sz w:val="26"/>
          <w:szCs w:val="26"/>
          <w:lang w:val="en-GB"/>
        </w:rPr>
        <w:t>:</w:t>
      </w:r>
    </w:p>
    <w:p w14:paraId="40B68199" w14:textId="77777777" w:rsidR="004C21DB" w:rsidRPr="00174DD7" w:rsidRDefault="004C21DB" w:rsidP="004C21DB">
      <w:pPr>
        <w:jc w:val="both"/>
        <w:rPr>
          <w:sz w:val="26"/>
          <w:szCs w:val="26"/>
          <w:lang w:val="en-GB"/>
        </w:rPr>
      </w:pPr>
    </w:p>
    <w:p w14:paraId="07C75EAF" w14:textId="71442D48" w:rsidR="007105AD" w:rsidRPr="007105AD" w:rsidRDefault="007105AD" w:rsidP="007105AD">
      <w:pPr>
        <w:jc w:val="both"/>
        <w:rPr>
          <w:sz w:val="26"/>
          <w:szCs w:val="26"/>
          <w:lang w:val="en-GB"/>
        </w:rPr>
      </w:pPr>
      <w:r>
        <w:rPr>
          <w:sz w:val="26"/>
          <w:szCs w:val="26"/>
          <w:lang w:val="en-GB"/>
        </w:rPr>
        <w:t xml:space="preserve">„2) </w:t>
      </w:r>
      <w:r w:rsidRPr="007105AD">
        <w:rPr>
          <w:sz w:val="26"/>
          <w:szCs w:val="26"/>
          <w:lang w:val="en-GB"/>
        </w:rPr>
        <w:t>Fees shall be charged for the issuance of the following documents:</w:t>
      </w:r>
    </w:p>
    <w:p w14:paraId="06880471" w14:textId="364E6D1A" w:rsidR="007105AD" w:rsidRPr="007105AD" w:rsidRDefault="007105AD" w:rsidP="007105AD">
      <w:pPr>
        <w:jc w:val="both"/>
        <w:rPr>
          <w:sz w:val="26"/>
          <w:szCs w:val="26"/>
          <w:lang w:val="en-GB"/>
        </w:rPr>
      </w:pPr>
      <w:r w:rsidRPr="007105AD">
        <w:rPr>
          <w:sz w:val="26"/>
          <w:szCs w:val="26"/>
          <w:lang w:val="en-GB"/>
        </w:rPr>
        <w:t>a) electronic student ID card – PLN 17;</w:t>
      </w:r>
    </w:p>
    <w:p w14:paraId="2B1F249D" w14:textId="1D1B18EE" w:rsidR="007105AD" w:rsidRPr="007105AD" w:rsidRDefault="007105AD" w:rsidP="007105AD">
      <w:pPr>
        <w:jc w:val="both"/>
        <w:rPr>
          <w:sz w:val="26"/>
          <w:szCs w:val="26"/>
          <w:lang w:val="en-GB"/>
        </w:rPr>
      </w:pPr>
      <w:r w:rsidRPr="007105AD">
        <w:rPr>
          <w:sz w:val="26"/>
          <w:szCs w:val="26"/>
          <w:lang w:val="en-GB"/>
        </w:rPr>
        <w:t>b) a document confirming the completion of postgraduate studies</w:t>
      </w:r>
      <w:r w:rsidRPr="007105AD">
        <w:t xml:space="preserve"> </w:t>
      </w:r>
      <w:r w:rsidRPr="007105AD">
        <w:rPr>
          <w:sz w:val="26"/>
          <w:szCs w:val="26"/>
          <w:lang w:val="en-GB"/>
        </w:rPr>
        <w:t>–</w:t>
      </w:r>
      <w:r>
        <w:rPr>
          <w:sz w:val="26"/>
          <w:szCs w:val="26"/>
          <w:lang w:val="en-GB"/>
        </w:rPr>
        <w:t xml:space="preserve"> </w:t>
      </w:r>
      <w:r w:rsidRPr="007105AD">
        <w:rPr>
          <w:sz w:val="26"/>
          <w:szCs w:val="26"/>
          <w:lang w:val="en-GB"/>
        </w:rPr>
        <w:t>PLN 30</w:t>
      </w:r>
    </w:p>
    <w:p w14:paraId="08F6409E" w14:textId="03B80EF8" w:rsidR="00D44CDE" w:rsidRDefault="007105AD" w:rsidP="007105AD">
      <w:pPr>
        <w:jc w:val="both"/>
        <w:rPr>
          <w:sz w:val="26"/>
          <w:szCs w:val="26"/>
          <w:lang w:val="en-GB"/>
        </w:rPr>
      </w:pPr>
      <w:r w:rsidRPr="007105AD">
        <w:rPr>
          <w:sz w:val="26"/>
          <w:szCs w:val="26"/>
          <w:lang w:val="en-GB"/>
        </w:rPr>
        <w:t xml:space="preserve">c) additional copy of </w:t>
      </w:r>
      <w:r>
        <w:rPr>
          <w:sz w:val="26"/>
          <w:szCs w:val="26"/>
          <w:lang w:val="en-GB"/>
        </w:rPr>
        <w:t xml:space="preserve">the </w:t>
      </w:r>
      <w:r w:rsidRPr="007105AD">
        <w:rPr>
          <w:sz w:val="26"/>
          <w:szCs w:val="26"/>
          <w:lang w:val="en-GB"/>
        </w:rPr>
        <w:t>diploma translated into a foreign language – PLN 40."</w:t>
      </w:r>
    </w:p>
    <w:p w14:paraId="124DAB51" w14:textId="77777777" w:rsidR="007105AD" w:rsidRPr="00174DD7" w:rsidRDefault="007105AD" w:rsidP="007105AD">
      <w:pPr>
        <w:jc w:val="both"/>
        <w:rPr>
          <w:sz w:val="26"/>
          <w:szCs w:val="26"/>
          <w:lang w:val="en-GB"/>
        </w:rPr>
      </w:pPr>
    </w:p>
    <w:p w14:paraId="7614EDD6" w14:textId="3D8BC27C" w:rsidR="00D44CDE" w:rsidRDefault="004C21DB" w:rsidP="004C21DB">
      <w:pPr>
        <w:jc w:val="both"/>
        <w:rPr>
          <w:sz w:val="26"/>
          <w:szCs w:val="26"/>
          <w:lang w:val="en-GB"/>
        </w:rPr>
      </w:pPr>
      <w:r w:rsidRPr="00174DD7">
        <w:rPr>
          <w:sz w:val="26"/>
          <w:szCs w:val="26"/>
          <w:lang w:val="en-GB"/>
        </w:rPr>
        <w:t xml:space="preserve">5. </w:t>
      </w:r>
      <w:r w:rsidR="007105AD">
        <w:rPr>
          <w:sz w:val="26"/>
          <w:szCs w:val="26"/>
          <w:lang w:val="en-GB"/>
        </w:rPr>
        <w:t>The A</w:t>
      </w:r>
      <w:r w:rsidR="007105AD" w:rsidRPr="007105AD">
        <w:rPr>
          <w:sz w:val="26"/>
          <w:szCs w:val="26"/>
          <w:lang w:val="en-GB"/>
        </w:rPr>
        <w:t xml:space="preserve">ppendix to the </w:t>
      </w:r>
      <w:r w:rsidR="007105AD">
        <w:rPr>
          <w:sz w:val="26"/>
          <w:szCs w:val="26"/>
          <w:lang w:val="en-GB"/>
        </w:rPr>
        <w:t>Announcement</w:t>
      </w:r>
      <w:r w:rsidR="007105AD" w:rsidRPr="007105AD">
        <w:rPr>
          <w:sz w:val="26"/>
          <w:szCs w:val="26"/>
          <w:lang w:val="en-GB"/>
        </w:rPr>
        <w:t xml:space="preserve"> shall have a new word</w:t>
      </w:r>
      <w:r w:rsidR="007105AD">
        <w:rPr>
          <w:sz w:val="26"/>
          <w:szCs w:val="26"/>
          <w:lang w:val="en-GB"/>
        </w:rPr>
        <w:t>ing and shall constitute the Annex to the present Appendix</w:t>
      </w:r>
      <w:r w:rsidR="007105AD" w:rsidRPr="007105AD">
        <w:rPr>
          <w:sz w:val="26"/>
          <w:szCs w:val="26"/>
          <w:lang w:val="en-GB"/>
        </w:rPr>
        <w:t xml:space="preserve"> to the </w:t>
      </w:r>
      <w:r w:rsidR="007105AD">
        <w:rPr>
          <w:sz w:val="26"/>
          <w:szCs w:val="26"/>
          <w:lang w:val="en-GB"/>
        </w:rPr>
        <w:t>Announcement</w:t>
      </w:r>
      <w:r w:rsidR="007105AD" w:rsidRPr="007105AD">
        <w:rPr>
          <w:sz w:val="26"/>
          <w:szCs w:val="26"/>
          <w:lang w:val="en-GB"/>
        </w:rPr>
        <w:t>.</w:t>
      </w:r>
    </w:p>
    <w:p w14:paraId="56005C4D" w14:textId="77777777" w:rsidR="007105AD" w:rsidRPr="00174DD7" w:rsidRDefault="007105AD" w:rsidP="004C21DB">
      <w:pPr>
        <w:jc w:val="both"/>
        <w:rPr>
          <w:sz w:val="26"/>
          <w:szCs w:val="26"/>
          <w:lang w:val="en-GB"/>
        </w:rPr>
      </w:pPr>
    </w:p>
    <w:p w14:paraId="5A079DF5" w14:textId="066502DF" w:rsidR="00D44CDE" w:rsidRPr="00174DD7" w:rsidRDefault="007105AD" w:rsidP="004C21DB">
      <w:pPr>
        <w:jc w:val="both"/>
        <w:rPr>
          <w:sz w:val="26"/>
          <w:szCs w:val="26"/>
          <w:lang w:val="en-GB"/>
        </w:rPr>
      </w:pPr>
      <w:r>
        <w:rPr>
          <w:sz w:val="26"/>
          <w:szCs w:val="26"/>
          <w:lang w:val="en-GB"/>
        </w:rPr>
        <w:t xml:space="preserve">6. </w:t>
      </w:r>
      <w:r w:rsidRPr="007105AD">
        <w:rPr>
          <w:sz w:val="26"/>
          <w:szCs w:val="26"/>
          <w:lang w:val="en-GB"/>
        </w:rPr>
        <w:t>The remaining provisions of the Announcement shall remain unchanged.</w:t>
      </w:r>
    </w:p>
    <w:p w14:paraId="4C0127A7" w14:textId="77777777" w:rsidR="00D44CDE" w:rsidRPr="00174DD7" w:rsidRDefault="00D44CDE" w:rsidP="004C21DB">
      <w:pPr>
        <w:jc w:val="both"/>
        <w:rPr>
          <w:sz w:val="26"/>
          <w:szCs w:val="26"/>
          <w:lang w:val="en-GB"/>
        </w:rPr>
      </w:pPr>
    </w:p>
    <w:p w14:paraId="69D30F52" w14:textId="1E293972" w:rsidR="004C21DB" w:rsidRPr="00174DD7" w:rsidRDefault="007105AD" w:rsidP="004C21DB">
      <w:pPr>
        <w:jc w:val="both"/>
        <w:rPr>
          <w:sz w:val="26"/>
          <w:szCs w:val="26"/>
          <w:lang w:val="en-GB"/>
        </w:rPr>
      </w:pPr>
      <w:r>
        <w:rPr>
          <w:sz w:val="26"/>
          <w:szCs w:val="26"/>
          <w:lang w:val="en-GB"/>
        </w:rPr>
        <w:t>7. This Appendi</w:t>
      </w:r>
      <w:r w:rsidRPr="007105AD">
        <w:rPr>
          <w:sz w:val="26"/>
          <w:szCs w:val="26"/>
          <w:lang w:val="en-GB"/>
        </w:rPr>
        <w:t>x shall enter into force on 25.01.2021 and shall apply for the academic year 2020/21.</w:t>
      </w:r>
    </w:p>
    <w:sectPr w:rsidR="004C21DB" w:rsidRPr="00174DD7" w:rsidSect="006E2792">
      <w:headerReference w:type="first" r:id="rId9"/>
      <w:footerReference w:type="first" r:id="rId10"/>
      <w:pgSz w:w="11906" w:h="16838"/>
      <w:pgMar w:top="568" w:right="566" w:bottom="142"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4175" w14:textId="77777777" w:rsidR="008F351F" w:rsidRDefault="008F351F" w:rsidP="00516F25">
      <w:r>
        <w:separator/>
      </w:r>
    </w:p>
  </w:endnote>
  <w:endnote w:type="continuationSeparator" w:id="0">
    <w:p w14:paraId="05E9B20A" w14:textId="77777777" w:rsidR="008F351F" w:rsidRDefault="008F351F" w:rsidP="0051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470464"/>
      <w:docPartObj>
        <w:docPartGallery w:val="Page Numbers (Bottom of Page)"/>
        <w:docPartUnique/>
      </w:docPartObj>
    </w:sdtPr>
    <w:sdtEndPr/>
    <w:sdtContent>
      <w:p w14:paraId="06C74020" w14:textId="367B542B" w:rsidR="006E2792" w:rsidRDefault="006E2792">
        <w:pPr>
          <w:pStyle w:val="Stopka"/>
          <w:jc w:val="center"/>
        </w:pPr>
        <w:r>
          <w:fldChar w:fldCharType="begin"/>
        </w:r>
        <w:r>
          <w:instrText>PAGE   \* MERGEFORMAT</w:instrText>
        </w:r>
        <w:r>
          <w:fldChar w:fldCharType="separate"/>
        </w:r>
        <w:r w:rsidR="007105AD">
          <w:rPr>
            <w:noProof/>
          </w:rPr>
          <w:t>1</w:t>
        </w:r>
        <w:r>
          <w:fldChar w:fldCharType="end"/>
        </w:r>
      </w:p>
    </w:sdtContent>
  </w:sdt>
  <w:p w14:paraId="30145385" w14:textId="77777777" w:rsidR="006E2792" w:rsidRDefault="006E27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C5D0" w14:textId="77777777" w:rsidR="008F351F" w:rsidRDefault="008F351F" w:rsidP="00516F25">
      <w:r>
        <w:separator/>
      </w:r>
    </w:p>
  </w:footnote>
  <w:footnote w:type="continuationSeparator" w:id="0">
    <w:p w14:paraId="141667E7" w14:textId="77777777" w:rsidR="008F351F" w:rsidRDefault="008F351F" w:rsidP="0051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C71D" w14:textId="548DEFA0" w:rsidR="005C52FB" w:rsidRDefault="005C52FB">
    <w:pPr>
      <w:pStyle w:val="Nagwek"/>
    </w:pPr>
  </w:p>
  <w:p w14:paraId="3E1313A6" w14:textId="77777777" w:rsidR="005C52FB" w:rsidRDefault="005C52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19B"/>
    <w:multiLevelType w:val="multilevel"/>
    <w:tmpl w:val="0B24E33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CF678D5"/>
    <w:multiLevelType w:val="hybridMultilevel"/>
    <w:tmpl w:val="A56A6BFE"/>
    <w:lvl w:ilvl="0" w:tplc="426CBD64">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CB5DC4"/>
    <w:multiLevelType w:val="hybridMultilevel"/>
    <w:tmpl w:val="DFC662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3821D1D"/>
    <w:multiLevelType w:val="hybridMultilevel"/>
    <w:tmpl w:val="28246BA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4C03D1A"/>
    <w:multiLevelType w:val="hybridMultilevel"/>
    <w:tmpl w:val="B14C5F80"/>
    <w:lvl w:ilvl="0" w:tplc="04150011">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1700D3"/>
    <w:multiLevelType w:val="hybridMultilevel"/>
    <w:tmpl w:val="31BC8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1B2413"/>
    <w:multiLevelType w:val="multilevel"/>
    <w:tmpl w:val="71564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73E62BD"/>
    <w:multiLevelType w:val="hybridMultilevel"/>
    <w:tmpl w:val="95EE63E8"/>
    <w:lvl w:ilvl="0" w:tplc="0192AF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55377D"/>
    <w:multiLevelType w:val="multilevel"/>
    <w:tmpl w:val="58CE326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CEA6612"/>
    <w:multiLevelType w:val="hybridMultilevel"/>
    <w:tmpl w:val="6A325CAE"/>
    <w:lvl w:ilvl="0" w:tplc="04150011">
      <w:start w:val="1"/>
      <w:numFmt w:val="decimal"/>
      <w:lvlText w:val="%1)"/>
      <w:lvlJc w:val="left"/>
      <w:pPr>
        <w:ind w:left="1080" w:hanging="360"/>
      </w:pPr>
      <w:rPr>
        <w:rFonts w:cs="Times New Roman"/>
      </w:rPr>
    </w:lvl>
    <w:lvl w:ilvl="1" w:tplc="1A348FB4">
      <w:start w:val="1"/>
      <w:numFmt w:val="decimal"/>
      <w:lvlText w:val="%2."/>
      <w:lvlJc w:val="left"/>
      <w:pPr>
        <w:tabs>
          <w:tab w:val="num" w:pos="1800"/>
        </w:tabs>
        <w:ind w:left="1800" w:hanging="360"/>
      </w:pPr>
      <w:rPr>
        <w:rFonts w:hint="default"/>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15:restartNumberingAfterBreak="0">
    <w:nsid w:val="1F217491"/>
    <w:multiLevelType w:val="hybridMultilevel"/>
    <w:tmpl w:val="56464680"/>
    <w:lvl w:ilvl="0" w:tplc="D572FB8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2807FA"/>
    <w:multiLevelType w:val="hybridMultilevel"/>
    <w:tmpl w:val="9B908146"/>
    <w:lvl w:ilvl="0" w:tplc="01A46AF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41B6A46"/>
    <w:multiLevelType w:val="hybridMultilevel"/>
    <w:tmpl w:val="D27427D6"/>
    <w:lvl w:ilvl="0" w:tplc="07B4BF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DC4FB5"/>
    <w:multiLevelType w:val="hybridMultilevel"/>
    <w:tmpl w:val="D5C8EE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7347B4"/>
    <w:multiLevelType w:val="hybridMultilevel"/>
    <w:tmpl w:val="8160A0C8"/>
    <w:lvl w:ilvl="0" w:tplc="6FCEB4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FF3770"/>
    <w:multiLevelType w:val="hybridMultilevel"/>
    <w:tmpl w:val="A0A08284"/>
    <w:lvl w:ilvl="0" w:tplc="8376B44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D6133A"/>
    <w:multiLevelType w:val="hybridMultilevel"/>
    <w:tmpl w:val="B77CC7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AE94B4C"/>
    <w:multiLevelType w:val="hybridMultilevel"/>
    <w:tmpl w:val="3FC83926"/>
    <w:lvl w:ilvl="0" w:tplc="E88A90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341E7C"/>
    <w:multiLevelType w:val="hybridMultilevel"/>
    <w:tmpl w:val="85327744"/>
    <w:lvl w:ilvl="0" w:tplc="116CAF5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627CF7"/>
    <w:multiLevelType w:val="hybridMultilevel"/>
    <w:tmpl w:val="C5D890AC"/>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EC67AB2"/>
    <w:multiLevelType w:val="hybridMultilevel"/>
    <w:tmpl w:val="90F44B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F020242"/>
    <w:multiLevelType w:val="hybridMultilevel"/>
    <w:tmpl w:val="4A56397C"/>
    <w:lvl w:ilvl="0" w:tplc="D578020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407457B1"/>
    <w:multiLevelType w:val="hybridMultilevel"/>
    <w:tmpl w:val="22BE4D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DE23AA"/>
    <w:multiLevelType w:val="hybridMultilevel"/>
    <w:tmpl w:val="EEEA4A1E"/>
    <w:lvl w:ilvl="0" w:tplc="04150017">
      <w:start w:val="1"/>
      <w:numFmt w:val="lowerLetter"/>
      <w:lvlText w:val="%1)"/>
      <w:lvlJc w:val="lef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24" w15:restartNumberingAfterBreak="0">
    <w:nsid w:val="46C234DB"/>
    <w:multiLevelType w:val="hybridMultilevel"/>
    <w:tmpl w:val="EB3E612C"/>
    <w:lvl w:ilvl="0" w:tplc="209417EA">
      <w:start w:val="1"/>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6C68DA"/>
    <w:multiLevelType w:val="hybridMultilevel"/>
    <w:tmpl w:val="6A663876"/>
    <w:lvl w:ilvl="0" w:tplc="85F0C3EA">
      <w:start w:val="3"/>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A1968DA"/>
    <w:multiLevelType w:val="hybridMultilevel"/>
    <w:tmpl w:val="657241B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ABB3007"/>
    <w:multiLevelType w:val="hybridMultilevel"/>
    <w:tmpl w:val="1CBEE46E"/>
    <w:lvl w:ilvl="0" w:tplc="FE580DD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C95747"/>
    <w:multiLevelType w:val="hybridMultilevel"/>
    <w:tmpl w:val="11180CB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D7E1B13"/>
    <w:multiLevelType w:val="multilevel"/>
    <w:tmpl w:val="ED1869B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4E060FE3"/>
    <w:multiLevelType w:val="hybridMultilevel"/>
    <w:tmpl w:val="441688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B67B81"/>
    <w:multiLevelType w:val="multilevel"/>
    <w:tmpl w:val="C268A56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52E0A3F"/>
    <w:multiLevelType w:val="hybridMultilevel"/>
    <w:tmpl w:val="67745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1705EF"/>
    <w:multiLevelType w:val="hybridMultilevel"/>
    <w:tmpl w:val="95241EA6"/>
    <w:lvl w:ilvl="0" w:tplc="D5A0FB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104A25"/>
    <w:multiLevelType w:val="hybridMultilevel"/>
    <w:tmpl w:val="D65060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32938"/>
    <w:multiLevelType w:val="hybridMultilevel"/>
    <w:tmpl w:val="A2C860B8"/>
    <w:lvl w:ilvl="0" w:tplc="D3AC16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3E21CB"/>
    <w:multiLevelType w:val="hybridMultilevel"/>
    <w:tmpl w:val="DE8E6AD6"/>
    <w:lvl w:ilvl="0" w:tplc="338259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1095BBA"/>
    <w:multiLevelType w:val="hybridMultilevel"/>
    <w:tmpl w:val="4FD02F2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652F1505"/>
    <w:multiLevelType w:val="hybridMultilevel"/>
    <w:tmpl w:val="9B8251BE"/>
    <w:lvl w:ilvl="0" w:tplc="EC785A82">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4"/>
  </w:num>
  <w:num w:numId="2">
    <w:abstractNumId w:val="8"/>
  </w:num>
  <w:num w:numId="3">
    <w:abstractNumId w:val="38"/>
  </w:num>
  <w:num w:numId="4">
    <w:abstractNumId w:val="11"/>
  </w:num>
  <w:num w:numId="5">
    <w:abstractNumId w:val="2"/>
  </w:num>
  <w:num w:numId="6">
    <w:abstractNumId w:val="19"/>
  </w:num>
  <w:num w:numId="7">
    <w:abstractNumId w:val="0"/>
  </w:num>
  <w:num w:numId="8">
    <w:abstractNumId w:val="9"/>
  </w:num>
  <w:num w:numId="9">
    <w:abstractNumId w:val="16"/>
  </w:num>
  <w:num w:numId="10">
    <w:abstractNumId w:val="3"/>
  </w:num>
  <w:num w:numId="11">
    <w:abstractNumId w:val="17"/>
  </w:num>
  <w:num w:numId="12">
    <w:abstractNumId w:val="30"/>
  </w:num>
  <w:num w:numId="13">
    <w:abstractNumId w:val="32"/>
  </w:num>
  <w:num w:numId="14">
    <w:abstractNumId w:val="7"/>
  </w:num>
  <w:num w:numId="15">
    <w:abstractNumId w:val="28"/>
  </w:num>
  <w:num w:numId="16">
    <w:abstractNumId w:val="1"/>
  </w:num>
  <w:num w:numId="17">
    <w:abstractNumId w:val="22"/>
  </w:num>
  <w:num w:numId="18">
    <w:abstractNumId w:val="13"/>
  </w:num>
  <w:num w:numId="19">
    <w:abstractNumId w:val="25"/>
  </w:num>
  <w:num w:numId="20">
    <w:abstractNumId w:val="20"/>
  </w:num>
  <w:num w:numId="21">
    <w:abstractNumId w:val="26"/>
  </w:num>
  <w:num w:numId="22">
    <w:abstractNumId w:val="23"/>
  </w:num>
  <w:num w:numId="23">
    <w:abstractNumId w:val="34"/>
  </w:num>
  <w:num w:numId="24">
    <w:abstractNumId w:val="36"/>
  </w:num>
  <w:num w:numId="25">
    <w:abstractNumId w:val="27"/>
  </w:num>
  <w:num w:numId="26">
    <w:abstractNumId w:val="21"/>
  </w:num>
  <w:num w:numId="27">
    <w:abstractNumId w:val="5"/>
  </w:num>
  <w:num w:numId="28">
    <w:abstractNumId w:val="35"/>
  </w:num>
  <w:num w:numId="29">
    <w:abstractNumId w:val="14"/>
  </w:num>
  <w:num w:numId="30">
    <w:abstractNumId w:val="12"/>
  </w:num>
  <w:num w:numId="31">
    <w:abstractNumId w:val="15"/>
  </w:num>
  <w:num w:numId="32">
    <w:abstractNumId w:val="33"/>
  </w:num>
  <w:num w:numId="33">
    <w:abstractNumId w:val="4"/>
  </w:num>
  <w:num w:numId="34">
    <w:abstractNumId w:val="18"/>
  </w:num>
  <w:num w:numId="35">
    <w:abstractNumId w:val="6"/>
  </w:num>
  <w:num w:numId="36">
    <w:abstractNumId w:val="31"/>
  </w:num>
  <w:num w:numId="37">
    <w:abstractNumId w:val="29"/>
  </w:num>
  <w:num w:numId="38">
    <w:abstractNumId w:val="1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AD7"/>
    <w:rsid w:val="0001067D"/>
    <w:rsid w:val="0002046E"/>
    <w:rsid w:val="00023BC4"/>
    <w:rsid w:val="0003020A"/>
    <w:rsid w:val="00037537"/>
    <w:rsid w:val="00044B6C"/>
    <w:rsid w:val="00052048"/>
    <w:rsid w:val="0005305E"/>
    <w:rsid w:val="00054C16"/>
    <w:rsid w:val="00062D36"/>
    <w:rsid w:val="00065369"/>
    <w:rsid w:val="0006584D"/>
    <w:rsid w:val="0007371B"/>
    <w:rsid w:val="00085CAC"/>
    <w:rsid w:val="00085F14"/>
    <w:rsid w:val="00086081"/>
    <w:rsid w:val="0008730D"/>
    <w:rsid w:val="00093797"/>
    <w:rsid w:val="0009454A"/>
    <w:rsid w:val="00097B14"/>
    <w:rsid w:val="000A1D17"/>
    <w:rsid w:val="000A27AB"/>
    <w:rsid w:val="000A43C9"/>
    <w:rsid w:val="000A49DA"/>
    <w:rsid w:val="000A616C"/>
    <w:rsid w:val="000B18E6"/>
    <w:rsid w:val="000B5843"/>
    <w:rsid w:val="000B58BC"/>
    <w:rsid w:val="000B6E4B"/>
    <w:rsid w:val="000C089B"/>
    <w:rsid w:val="000C148A"/>
    <w:rsid w:val="000C4DBD"/>
    <w:rsid w:val="000D0ED0"/>
    <w:rsid w:val="000D50EC"/>
    <w:rsid w:val="000E1C64"/>
    <w:rsid w:val="000F00B7"/>
    <w:rsid w:val="000F0261"/>
    <w:rsid w:val="000F1117"/>
    <w:rsid w:val="000F3B9C"/>
    <w:rsid w:val="000F4497"/>
    <w:rsid w:val="00100F08"/>
    <w:rsid w:val="001034BC"/>
    <w:rsid w:val="001104CB"/>
    <w:rsid w:val="00116322"/>
    <w:rsid w:val="0012081D"/>
    <w:rsid w:val="001315D0"/>
    <w:rsid w:val="00134FBF"/>
    <w:rsid w:val="00141AFA"/>
    <w:rsid w:val="00143157"/>
    <w:rsid w:val="001431AB"/>
    <w:rsid w:val="0015548B"/>
    <w:rsid w:val="00160AC7"/>
    <w:rsid w:val="00166B45"/>
    <w:rsid w:val="00172132"/>
    <w:rsid w:val="001738FE"/>
    <w:rsid w:val="00174C6A"/>
    <w:rsid w:val="00174DD7"/>
    <w:rsid w:val="00185C1F"/>
    <w:rsid w:val="001871FF"/>
    <w:rsid w:val="00195B5F"/>
    <w:rsid w:val="00196E6A"/>
    <w:rsid w:val="00197BB7"/>
    <w:rsid w:val="001A39FD"/>
    <w:rsid w:val="001A4E6A"/>
    <w:rsid w:val="001A4F7F"/>
    <w:rsid w:val="001A558A"/>
    <w:rsid w:val="001A6A65"/>
    <w:rsid w:val="001B26EA"/>
    <w:rsid w:val="001B4475"/>
    <w:rsid w:val="001B57C6"/>
    <w:rsid w:val="001C4457"/>
    <w:rsid w:val="001D5EB1"/>
    <w:rsid w:val="001D68BF"/>
    <w:rsid w:val="001E073F"/>
    <w:rsid w:val="001E33E3"/>
    <w:rsid w:val="001F18B5"/>
    <w:rsid w:val="001F213F"/>
    <w:rsid w:val="002034BB"/>
    <w:rsid w:val="00210D69"/>
    <w:rsid w:val="00213CD4"/>
    <w:rsid w:val="00216DEC"/>
    <w:rsid w:val="00217333"/>
    <w:rsid w:val="002175A0"/>
    <w:rsid w:val="002175D7"/>
    <w:rsid w:val="00223B14"/>
    <w:rsid w:val="002244A3"/>
    <w:rsid w:val="00232980"/>
    <w:rsid w:val="002373BD"/>
    <w:rsid w:val="00242853"/>
    <w:rsid w:val="00243E02"/>
    <w:rsid w:val="00245A8F"/>
    <w:rsid w:val="00252627"/>
    <w:rsid w:val="002541CD"/>
    <w:rsid w:val="00257218"/>
    <w:rsid w:val="0026180A"/>
    <w:rsid w:val="0026630E"/>
    <w:rsid w:val="00270875"/>
    <w:rsid w:val="002765A9"/>
    <w:rsid w:val="0028051F"/>
    <w:rsid w:val="00287E99"/>
    <w:rsid w:val="002A4853"/>
    <w:rsid w:val="002A614A"/>
    <w:rsid w:val="002B0E83"/>
    <w:rsid w:val="002B59FF"/>
    <w:rsid w:val="002C64DB"/>
    <w:rsid w:val="002C6AE8"/>
    <w:rsid w:val="002C6D04"/>
    <w:rsid w:val="002D1A19"/>
    <w:rsid w:val="002E1DF1"/>
    <w:rsid w:val="002F085B"/>
    <w:rsid w:val="002F15AA"/>
    <w:rsid w:val="002F1DDC"/>
    <w:rsid w:val="00302E3F"/>
    <w:rsid w:val="00303FDC"/>
    <w:rsid w:val="003151B6"/>
    <w:rsid w:val="00317E62"/>
    <w:rsid w:val="003232F7"/>
    <w:rsid w:val="00327273"/>
    <w:rsid w:val="003466AA"/>
    <w:rsid w:val="0034769D"/>
    <w:rsid w:val="00350B75"/>
    <w:rsid w:val="0036003F"/>
    <w:rsid w:val="0037029E"/>
    <w:rsid w:val="00370402"/>
    <w:rsid w:val="00370B85"/>
    <w:rsid w:val="00381CA8"/>
    <w:rsid w:val="00384600"/>
    <w:rsid w:val="00391436"/>
    <w:rsid w:val="00393170"/>
    <w:rsid w:val="003934C7"/>
    <w:rsid w:val="00394AF2"/>
    <w:rsid w:val="00394F89"/>
    <w:rsid w:val="0039738D"/>
    <w:rsid w:val="003A4566"/>
    <w:rsid w:val="003A4CC6"/>
    <w:rsid w:val="003A62AB"/>
    <w:rsid w:val="003A66B0"/>
    <w:rsid w:val="003B0BA6"/>
    <w:rsid w:val="003B3F70"/>
    <w:rsid w:val="003B4109"/>
    <w:rsid w:val="003B69E4"/>
    <w:rsid w:val="003C2D17"/>
    <w:rsid w:val="003C53CD"/>
    <w:rsid w:val="003D56CF"/>
    <w:rsid w:val="003E02C2"/>
    <w:rsid w:val="003F70B5"/>
    <w:rsid w:val="00405906"/>
    <w:rsid w:val="00406B1F"/>
    <w:rsid w:val="00411A48"/>
    <w:rsid w:val="0041323B"/>
    <w:rsid w:val="0042656E"/>
    <w:rsid w:val="0043388C"/>
    <w:rsid w:val="00443959"/>
    <w:rsid w:val="0044398C"/>
    <w:rsid w:val="00447BC8"/>
    <w:rsid w:val="004557CF"/>
    <w:rsid w:val="00460E8C"/>
    <w:rsid w:val="0046289D"/>
    <w:rsid w:val="004653D4"/>
    <w:rsid w:val="00470067"/>
    <w:rsid w:val="00477874"/>
    <w:rsid w:val="00483DCB"/>
    <w:rsid w:val="00484D80"/>
    <w:rsid w:val="00490A79"/>
    <w:rsid w:val="00493C42"/>
    <w:rsid w:val="004A46A2"/>
    <w:rsid w:val="004A5382"/>
    <w:rsid w:val="004B0E1C"/>
    <w:rsid w:val="004C1AAD"/>
    <w:rsid w:val="004C21DB"/>
    <w:rsid w:val="004C2C00"/>
    <w:rsid w:val="004C5A54"/>
    <w:rsid w:val="004D261D"/>
    <w:rsid w:val="004D7D24"/>
    <w:rsid w:val="004F42B6"/>
    <w:rsid w:val="005143C3"/>
    <w:rsid w:val="00516F25"/>
    <w:rsid w:val="00517F1F"/>
    <w:rsid w:val="00526179"/>
    <w:rsid w:val="00531C7F"/>
    <w:rsid w:val="00535671"/>
    <w:rsid w:val="0054062E"/>
    <w:rsid w:val="00540850"/>
    <w:rsid w:val="00541E32"/>
    <w:rsid w:val="0054333B"/>
    <w:rsid w:val="00543800"/>
    <w:rsid w:val="00545BEE"/>
    <w:rsid w:val="0054798C"/>
    <w:rsid w:val="00552D35"/>
    <w:rsid w:val="00553A06"/>
    <w:rsid w:val="00555F02"/>
    <w:rsid w:val="0056653E"/>
    <w:rsid w:val="00576C2D"/>
    <w:rsid w:val="00577019"/>
    <w:rsid w:val="0058249C"/>
    <w:rsid w:val="0058364B"/>
    <w:rsid w:val="00584DED"/>
    <w:rsid w:val="00585EFC"/>
    <w:rsid w:val="00590612"/>
    <w:rsid w:val="00595888"/>
    <w:rsid w:val="00596916"/>
    <w:rsid w:val="005975B4"/>
    <w:rsid w:val="005A1513"/>
    <w:rsid w:val="005B01DB"/>
    <w:rsid w:val="005B26DC"/>
    <w:rsid w:val="005C1F4C"/>
    <w:rsid w:val="005C2437"/>
    <w:rsid w:val="005C4360"/>
    <w:rsid w:val="005C52FB"/>
    <w:rsid w:val="005D4E56"/>
    <w:rsid w:val="005D7D5B"/>
    <w:rsid w:val="005E229F"/>
    <w:rsid w:val="005E759E"/>
    <w:rsid w:val="005E7F83"/>
    <w:rsid w:val="005F57B4"/>
    <w:rsid w:val="005F656A"/>
    <w:rsid w:val="00603843"/>
    <w:rsid w:val="00615542"/>
    <w:rsid w:val="0061644E"/>
    <w:rsid w:val="00616597"/>
    <w:rsid w:val="00620119"/>
    <w:rsid w:val="006207C3"/>
    <w:rsid w:val="0062341D"/>
    <w:rsid w:val="00624898"/>
    <w:rsid w:val="00627E59"/>
    <w:rsid w:val="00630638"/>
    <w:rsid w:val="00632716"/>
    <w:rsid w:val="00636D42"/>
    <w:rsid w:val="0064398A"/>
    <w:rsid w:val="00643CE4"/>
    <w:rsid w:val="00644D76"/>
    <w:rsid w:val="006467C0"/>
    <w:rsid w:val="0065168C"/>
    <w:rsid w:val="00653DF1"/>
    <w:rsid w:val="00660979"/>
    <w:rsid w:val="006648BC"/>
    <w:rsid w:val="00671A3C"/>
    <w:rsid w:val="006742C6"/>
    <w:rsid w:val="00682DC2"/>
    <w:rsid w:val="0068514A"/>
    <w:rsid w:val="00687087"/>
    <w:rsid w:val="00695853"/>
    <w:rsid w:val="006968DC"/>
    <w:rsid w:val="006A55F7"/>
    <w:rsid w:val="006B1EB1"/>
    <w:rsid w:val="006B2597"/>
    <w:rsid w:val="006B6939"/>
    <w:rsid w:val="006C100B"/>
    <w:rsid w:val="006C2834"/>
    <w:rsid w:val="006C2A36"/>
    <w:rsid w:val="006C3BCD"/>
    <w:rsid w:val="006C4374"/>
    <w:rsid w:val="006D08C3"/>
    <w:rsid w:val="006D15A3"/>
    <w:rsid w:val="006E2792"/>
    <w:rsid w:val="006E54BF"/>
    <w:rsid w:val="006E6A04"/>
    <w:rsid w:val="006F0BCE"/>
    <w:rsid w:val="006F17FC"/>
    <w:rsid w:val="006F3A83"/>
    <w:rsid w:val="00702D36"/>
    <w:rsid w:val="007054A9"/>
    <w:rsid w:val="007105AD"/>
    <w:rsid w:val="00720CBB"/>
    <w:rsid w:val="00722B51"/>
    <w:rsid w:val="00724A5B"/>
    <w:rsid w:val="00732999"/>
    <w:rsid w:val="007343E8"/>
    <w:rsid w:val="00741414"/>
    <w:rsid w:val="00750025"/>
    <w:rsid w:val="00750A31"/>
    <w:rsid w:val="0075754E"/>
    <w:rsid w:val="00765C07"/>
    <w:rsid w:val="00766B41"/>
    <w:rsid w:val="00782AC2"/>
    <w:rsid w:val="00783570"/>
    <w:rsid w:val="00793A15"/>
    <w:rsid w:val="007979EB"/>
    <w:rsid w:val="007A5EC3"/>
    <w:rsid w:val="007B12A0"/>
    <w:rsid w:val="007B2609"/>
    <w:rsid w:val="007C281F"/>
    <w:rsid w:val="007C38F9"/>
    <w:rsid w:val="007C5E9E"/>
    <w:rsid w:val="007C69D1"/>
    <w:rsid w:val="007D33BD"/>
    <w:rsid w:val="007D54C0"/>
    <w:rsid w:val="007D6E7B"/>
    <w:rsid w:val="007F2206"/>
    <w:rsid w:val="007F60B9"/>
    <w:rsid w:val="008030DB"/>
    <w:rsid w:val="0082163B"/>
    <w:rsid w:val="00821701"/>
    <w:rsid w:val="00825AAC"/>
    <w:rsid w:val="00826A91"/>
    <w:rsid w:val="00830F0F"/>
    <w:rsid w:val="00833AD7"/>
    <w:rsid w:val="0084504F"/>
    <w:rsid w:val="00845C7C"/>
    <w:rsid w:val="008517AB"/>
    <w:rsid w:val="00852F7F"/>
    <w:rsid w:val="00855DA3"/>
    <w:rsid w:val="0086299B"/>
    <w:rsid w:val="00870716"/>
    <w:rsid w:val="00873A55"/>
    <w:rsid w:val="00874F10"/>
    <w:rsid w:val="00876E8B"/>
    <w:rsid w:val="008779C2"/>
    <w:rsid w:val="00882E37"/>
    <w:rsid w:val="00884888"/>
    <w:rsid w:val="0089289C"/>
    <w:rsid w:val="0089488E"/>
    <w:rsid w:val="008A0473"/>
    <w:rsid w:val="008A2A71"/>
    <w:rsid w:val="008A5C01"/>
    <w:rsid w:val="008B0054"/>
    <w:rsid w:val="008B0C74"/>
    <w:rsid w:val="008B30B0"/>
    <w:rsid w:val="008B72B4"/>
    <w:rsid w:val="008C337C"/>
    <w:rsid w:val="008C3592"/>
    <w:rsid w:val="008E25B1"/>
    <w:rsid w:val="008F19EC"/>
    <w:rsid w:val="008F2853"/>
    <w:rsid w:val="008F351F"/>
    <w:rsid w:val="008F7E80"/>
    <w:rsid w:val="0090430E"/>
    <w:rsid w:val="00904F67"/>
    <w:rsid w:val="0091133F"/>
    <w:rsid w:val="00915753"/>
    <w:rsid w:val="0091763E"/>
    <w:rsid w:val="0092777B"/>
    <w:rsid w:val="00933545"/>
    <w:rsid w:val="00936A90"/>
    <w:rsid w:val="00937317"/>
    <w:rsid w:val="00941965"/>
    <w:rsid w:val="009464F6"/>
    <w:rsid w:val="00967759"/>
    <w:rsid w:val="00971DC0"/>
    <w:rsid w:val="00980BC6"/>
    <w:rsid w:val="0098265E"/>
    <w:rsid w:val="00983832"/>
    <w:rsid w:val="009959FF"/>
    <w:rsid w:val="009964C8"/>
    <w:rsid w:val="009A3502"/>
    <w:rsid w:val="009A4E5A"/>
    <w:rsid w:val="009C224D"/>
    <w:rsid w:val="009C5983"/>
    <w:rsid w:val="009C6041"/>
    <w:rsid w:val="009D1F2B"/>
    <w:rsid w:val="009D2CB6"/>
    <w:rsid w:val="00A00A0A"/>
    <w:rsid w:val="00A02848"/>
    <w:rsid w:val="00A03C20"/>
    <w:rsid w:val="00A0601C"/>
    <w:rsid w:val="00A13686"/>
    <w:rsid w:val="00A15DA4"/>
    <w:rsid w:val="00A20E1F"/>
    <w:rsid w:val="00A242B0"/>
    <w:rsid w:val="00A25C0B"/>
    <w:rsid w:val="00A27836"/>
    <w:rsid w:val="00A3030E"/>
    <w:rsid w:val="00A406AD"/>
    <w:rsid w:val="00A408DC"/>
    <w:rsid w:val="00A46565"/>
    <w:rsid w:val="00A6061B"/>
    <w:rsid w:val="00A615DA"/>
    <w:rsid w:val="00A6204F"/>
    <w:rsid w:val="00A62D3B"/>
    <w:rsid w:val="00A815DA"/>
    <w:rsid w:val="00A835DA"/>
    <w:rsid w:val="00A8591D"/>
    <w:rsid w:val="00A90790"/>
    <w:rsid w:val="00A921E0"/>
    <w:rsid w:val="00A94E81"/>
    <w:rsid w:val="00AA3118"/>
    <w:rsid w:val="00AA4041"/>
    <w:rsid w:val="00AA62FC"/>
    <w:rsid w:val="00AB0E17"/>
    <w:rsid w:val="00AB675D"/>
    <w:rsid w:val="00AC1F39"/>
    <w:rsid w:val="00AD1D9E"/>
    <w:rsid w:val="00AD228F"/>
    <w:rsid w:val="00AD50BC"/>
    <w:rsid w:val="00AD5E2F"/>
    <w:rsid w:val="00AE08F8"/>
    <w:rsid w:val="00AE5314"/>
    <w:rsid w:val="00AF1C52"/>
    <w:rsid w:val="00AF7AE1"/>
    <w:rsid w:val="00B0682C"/>
    <w:rsid w:val="00B0727A"/>
    <w:rsid w:val="00B11DE4"/>
    <w:rsid w:val="00B20954"/>
    <w:rsid w:val="00B2727C"/>
    <w:rsid w:val="00B46831"/>
    <w:rsid w:val="00B468B2"/>
    <w:rsid w:val="00B51E5E"/>
    <w:rsid w:val="00B5409D"/>
    <w:rsid w:val="00B573BD"/>
    <w:rsid w:val="00B62A3C"/>
    <w:rsid w:val="00B74593"/>
    <w:rsid w:val="00B81F8D"/>
    <w:rsid w:val="00B86847"/>
    <w:rsid w:val="00B9167E"/>
    <w:rsid w:val="00B94227"/>
    <w:rsid w:val="00BA5F9C"/>
    <w:rsid w:val="00BB24FB"/>
    <w:rsid w:val="00BB6848"/>
    <w:rsid w:val="00BB6D73"/>
    <w:rsid w:val="00BC2204"/>
    <w:rsid w:val="00BD1479"/>
    <w:rsid w:val="00BD480C"/>
    <w:rsid w:val="00BD6612"/>
    <w:rsid w:val="00BE0AD8"/>
    <w:rsid w:val="00BE0FF4"/>
    <w:rsid w:val="00BE1525"/>
    <w:rsid w:val="00BE4AC4"/>
    <w:rsid w:val="00C0092F"/>
    <w:rsid w:val="00C124F6"/>
    <w:rsid w:val="00C17425"/>
    <w:rsid w:val="00C174DA"/>
    <w:rsid w:val="00C17E0D"/>
    <w:rsid w:val="00C27662"/>
    <w:rsid w:val="00C43103"/>
    <w:rsid w:val="00C53362"/>
    <w:rsid w:val="00C53502"/>
    <w:rsid w:val="00C67661"/>
    <w:rsid w:val="00C725DF"/>
    <w:rsid w:val="00C807F8"/>
    <w:rsid w:val="00C809C7"/>
    <w:rsid w:val="00C8223F"/>
    <w:rsid w:val="00C836AC"/>
    <w:rsid w:val="00C9528A"/>
    <w:rsid w:val="00C96522"/>
    <w:rsid w:val="00C97FB5"/>
    <w:rsid w:val="00CB0F3C"/>
    <w:rsid w:val="00CB41A5"/>
    <w:rsid w:val="00CC6F52"/>
    <w:rsid w:val="00CC7C87"/>
    <w:rsid w:val="00CE4B5E"/>
    <w:rsid w:val="00CE7AAD"/>
    <w:rsid w:val="00CF042F"/>
    <w:rsid w:val="00CF060E"/>
    <w:rsid w:val="00CF4199"/>
    <w:rsid w:val="00CF4251"/>
    <w:rsid w:val="00CF50E8"/>
    <w:rsid w:val="00D01E6D"/>
    <w:rsid w:val="00D04450"/>
    <w:rsid w:val="00D07CC3"/>
    <w:rsid w:val="00D10377"/>
    <w:rsid w:val="00D10BCB"/>
    <w:rsid w:val="00D1354A"/>
    <w:rsid w:val="00D1667A"/>
    <w:rsid w:val="00D23162"/>
    <w:rsid w:val="00D279D2"/>
    <w:rsid w:val="00D33412"/>
    <w:rsid w:val="00D4264D"/>
    <w:rsid w:val="00D443E6"/>
    <w:rsid w:val="00D44CDE"/>
    <w:rsid w:val="00D62227"/>
    <w:rsid w:val="00D630DB"/>
    <w:rsid w:val="00D64AAC"/>
    <w:rsid w:val="00D7642E"/>
    <w:rsid w:val="00D81A42"/>
    <w:rsid w:val="00D87F52"/>
    <w:rsid w:val="00D91A71"/>
    <w:rsid w:val="00D92528"/>
    <w:rsid w:val="00DA27DF"/>
    <w:rsid w:val="00DA7E52"/>
    <w:rsid w:val="00DB28CD"/>
    <w:rsid w:val="00DB4F55"/>
    <w:rsid w:val="00DB605A"/>
    <w:rsid w:val="00DB6E4E"/>
    <w:rsid w:val="00DC2D3C"/>
    <w:rsid w:val="00DC4536"/>
    <w:rsid w:val="00DD4F19"/>
    <w:rsid w:val="00DE3C45"/>
    <w:rsid w:val="00DE6443"/>
    <w:rsid w:val="00DF29B5"/>
    <w:rsid w:val="00DF3D9B"/>
    <w:rsid w:val="00DF40C1"/>
    <w:rsid w:val="00E0330D"/>
    <w:rsid w:val="00E036F3"/>
    <w:rsid w:val="00E04637"/>
    <w:rsid w:val="00E12097"/>
    <w:rsid w:val="00E12120"/>
    <w:rsid w:val="00E16095"/>
    <w:rsid w:val="00E16983"/>
    <w:rsid w:val="00E16D79"/>
    <w:rsid w:val="00E17065"/>
    <w:rsid w:val="00E21249"/>
    <w:rsid w:val="00E2352F"/>
    <w:rsid w:val="00E23CC1"/>
    <w:rsid w:val="00E25074"/>
    <w:rsid w:val="00E25592"/>
    <w:rsid w:val="00E2703F"/>
    <w:rsid w:val="00E339E4"/>
    <w:rsid w:val="00E402E2"/>
    <w:rsid w:val="00E403C2"/>
    <w:rsid w:val="00E4586A"/>
    <w:rsid w:val="00E51E89"/>
    <w:rsid w:val="00E662C4"/>
    <w:rsid w:val="00E66341"/>
    <w:rsid w:val="00E81BFC"/>
    <w:rsid w:val="00E82DA4"/>
    <w:rsid w:val="00E83AD7"/>
    <w:rsid w:val="00E87D17"/>
    <w:rsid w:val="00E9223F"/>
    <w:rsid w:val="00EA1A20"/>
    <w:rsid w:val="00EA3DDE"/>
    <w:rsid w:val="00EA4CB8"/>
    <w:rsid w:val="00EB4B12"/>
    <w:rsid w:val="00EB71F3"/>
    <w:rsid w:val="00EB7E30"/>
    <w:rsid w:val="00EC29F4"/>
    <w:rsid w:val="00EC466F"/>
    <w:rsid w:val="00EC47AE"/>
    <w:rsid w:val="00EF02E5"/>
    <w:rsid w:val="00EF3610"/>
    <w:rsid w:val="00F029CE"/>
    <w:rsid w:val="00F058D2"/>
    <w:rsid w:val="00F06066"/>
    <w:rsid w:val="00F07AB5"/>
    <w:rsid w:val="00F12B04"/>
    <w:rsid w:val="00F168C9"/>
    <w:rsid w:val="00F1691D"/>
    <w:rsid w:val="00F36B3E"/>
    <w:rsid w:val="00F40170"/>
    <w:rsid w:val="00F40B4B"/>
    <w:rsid w:val="00F506E1"/>
    <w:rsid w:val="00F5298E"/>
    <w:rsid w:val="00F54225"/>
    <w:rsid w:val="00F60DEA"/>
    <w:rsid w:val="00F61C37"/>
    <w:rsid w:val="00F649AB"/>
    <w:rsid w:val="00F65BA2"/>
    <w:rsid w:val="00F70379"/>
    <w:rsid w:val="00F82661"/>
    <w:rsid w:val="00F86DDA"/>
    <w:rsid w:val="00F909B0"/>
    <w:rsid w:val="00F95C65"/>
    <w:rsid w:val="00FA08DB"/>
    <w:rsid w:val="00FA5BAD"/>
    <w:rsid w:val="00FB29D6"/>
    <w:rsid w:val="00FB5502"/>
    <w:rsid w:val="00FC0CD6"/>
    <w:rsid w:val="00FC1256"/>
    <w:rsid w:val="00FC5C75"/>
    <w:rsid w:val="00FF6239"/>
    <w:rsid w:val="00FF77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958D0"/>
  <w15:chartTrackingRefBased/>
  <w15:docId w15:val="{2340C562-1816-4DB1-B1F0-C9DE686E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ny">
    <w:name w:val="Normal"/>
    <w:qFormat/>
    <w:rsid w:val="002034B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9964C8"/>
    <w:pPr>
      <w:ind w:left="284" w:right="-72" w:hanging="284"/>
      <w:jc w:val="both"/>
    </w:pPr>
    <w:rPr>
      <w:b/>
      <w:sz w:val="26"/>
      <w:szCs w:val="26"/>
    </w:rPr>
  </w:style>
  <w:style w:type="paragraph" w:styleId="Tekstblokowy">
    <w:name w:val="Block Text"/>
    <w:basedOn w:val="Normalny"/>
    <w:rsid w:val="009964C8"/>
    <w:pPr>
      <w:ind w:left="567" w:right="-72"/>
      <w:jc w:val="both"/>
    </w:pPr>
    <w:rPr>
      <w:sz w:val="26"/>
      <w:szCs w:val="26"/>
    </w:rPr>
  </w:style>
  <w:style w:type="paragraph" w:customStyle="1" w:styleId="link2">
    <w:name w:val="link2"/>
    <w:basedOn w:val="Normalny"/>
    <w:rsid w:val="009964C8"/>
    <w:pPr>
      <w:spacing w:before="17" w:after="17"/>
      <w:ind w:left="502" w:hanging="251"/>
    </w:pPr>
    <w:rPr>
      <w:rFonts w:ascii="Arial" w:hAnsi="Arial" w:cs="Arial"/>
      <w:color w:val="333333"/>
      <w:sz w:val="16"/>
      <w:szCs w:val="16"/>
    </w:rPr>
  </w:style>
  <w:style w:type="paragraph" w:customStyle="1" w:styleId="link3">
    <w:name w:val="link3"/>
    <w:basedOn w:val="Normalny"/>
    <w:rsid w:val="009964C8"/>
    <w:pPr>
      <w:spacing w:before="17" w:after="17"/>
      <w:ind w:left="837" w:hanging="251"/>
    </w:pPr>
    <w:rPr>
      <w:rFonts w:ascii="Arial" w:hAnsi="Arial" w:cs="Arial"/>
      <w:color w:val="333333"/>
      <w:sz w:val="16"/>
      <w:szCs w:val="16"/>
    </w:rPr>
  </w:style>
  <w:style w:type="paragraph" w:styleId="Nagwek">
    <w:name w:val="header"/>
    <w:basedOn w:val="Normalny"/>
    <w:link w:val="NagwekZnak"/>
    <w:uiPriority w:val="99"/>
    <w:rsid w:val="00516F25"/>
    <w:pPr>
      <w:tabs>
        <w:tab w:val="center" w:pos="4536"/>
        <w:tab w:val="right" w:pos="9072"/>
      </w:tabs>
    </w:pPr>
  </w:style>
  <w:style w:type="character" w:customStyle="1" w:styleId="NagwekZnak">
    <w:name w:val="Nagłówek Znak"/>
    <w:link w:val="Nagwek"/>
    <w:uiPriority w:val="99"/>
    <w:locked/>
    <w:rsid w:val="00516F25"/>
    <w:rPr>
      <w:rFonts w:cs="Times New Roman"/>
      <w:sz w:val="24"/>
      <w:szCs w:val="24"/>
    </w:rPr>
  </w:style>
  <w:style w:type="paragraph" w:styleId="Stopka">
    <w:name w:val="footer"/>
    <w:basedOn w:val="Normalny"/>
    <w:link w:val="StopkaZnak"/>
    <w:uiPriority w:val="99"/>
    <w:rsid w:val="00516F25"/>
    <w:pPr>
      <w:tabs>
        <w:tab w:val="center" w:pos="4536"/>
        <w:tab w:val="right" w:pos="9072"/>
      </w:tabs>
    </w:pPr>
  </w:style>
  <w:style w:type="character" w:customStyle="1" w:styleId="StopkaZnak">
    <w:name w:val="Stopka Znak"/>
    <w:link w:val="Stopka"/>
    <w:uiPriority w:val="99"/>
    <w:locked/>
    <w:rsid w:val="00516F25"/>
    <w:rPr>
      <w:rFonts w:cs="Times New Roman"/>
      <w:sz w:val="24"/>
      <w:szCs w:val="24"/>
    </w:rPr>
  </w:style>
  <w:style w:type="paragraph" w:styleId="Tekstdymka">
    <w:name w:val="Balloon Text"/>
    <w:basedOn w:val="Normalny"/>
    <w:link w:val="TekstdymkaZnak"/>
    <w:rsid w:val="00B11DE4"/>
    <w:rPr>
      <w:rFonts w:ascii="Tahoma" w:hAnsi="Tahoma" w:cs="Tahoma"/>
      <w:sz w:val="16"/>
      <w:szCs w:val="16"/>
    </w:rPr>
  </w:style>
  <w:style w:type="character" w:customStyle="1" w:styleId="TekstdymkaZnak">
    <w:name w:val="Tekst dymka Znak"/>
    <w:link w:val="Tekstdymka"/>
    <w:locked/>
    <w:rsid w:val="00B11DE4"/>
    <w:rPr>
      <w:rFonts w:ascii="Tahoma" w:hAnsi="Tahoma" w:cs="Tahoma"/>
      <w:sz w:val="16"/>
      <w:szCs w:val="16"/>
    </w:rPr>
  </w:style>
  <w:style w:type="character" w:styleId="Uwydatnienie">
    <w:name w:val="Emphasis"/>
    <w:qFormat/>
    <w:rsid w:val="00CC7C87"/>
    <w:rPr>
      <w:rFonts w:cs="Times New Roman"/>
      <w:i/>
      <w:iCs/>
    </w:rPr>
  </w:style>
  <w:style w:type="character" w:styleId="Hipercze">
    <w:name w:val="Hyperlink"/>
    <w:rsid w:val="008A0473"/>
    <w:rPr>
      <w:rFonts w:cs="Times New Roman"/>
      <w:color w:val="0000FF"/>
      <w:u w:val="single"/>
    </w:rPr>
  </w:style>
  <w:style w:type="paragraph" w:customStyle="1" w:styleId="Akapitzlist1">
    <w:name w:val="Akapit z listą1"/>
    <w:basedOn w:val="Normalny"/>
    <w:rsid w:val="005143C3"/>
    <w:pPr>
      <w:ind w:left="720"/>
      <w:contextualSpacing/>
    </w:pPr>
  </w:style>
  <w:style w:type="character" w:styleId="Odwoaniedokomentarza">
    <w:name w:val="annotation reference"/>
    <w:semiHidden/>
    <w:rsid w:val="00EC29F4"/>
    <w:rPr>
      <w:sz w:val="16"/>
      <w:szCs w:val="16"/>
    </w:rPr>
  </w:style>
  <w:style w:type="paragraph" w:styleId="Tekstkomentarza">
    <w:name w:val="annotation text"/>
    <w:basedOn w:val="Normalny"/>
    <w:semiHidden/>
    <w:rsid w:val="00EC29F4"/>
    <w:rPr>
      <w:sz w:val="20"/>
      <w:szCs w:val="20"/>
    </w:rPr>
  </w:style>
  <w:style w:type="paragraph" w:styleId="Tematkomentarza">
    <w:name w:val="annotation subject"/>
    <w:basedOn w:val="Tekstkomentarza"/>
    <w:next w:val="Tekstkomentarza"/>
    <w:semiHidden/>
    <w:rsid w:val="00EC29F4"/>
    <w:rPr>
      <w:b/>
      <w:bCs/>
    </w:rPr>
  </w:style>
  <w:style w:type="table" w:styleId="Tabela-Siatka">
    <w:name w:val="Table Grid"/>
    <w:basedOn w:val="Standardowy"/>
    <w:uiPriority w:val="59"/>
    <w:rsid w:val="000C1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4769D"/>
    <w:pPr>
      <w:ind w:left="720"/>
      <w:contextualSpacing/>
    </w:pPr>
  </w:style>
  <w:style w:type="table" w:customStyle="1" w:styleId="Tabela-Siatka1">
    <w:name w:val="Tabela - Siatka1"/>
    <w:basedOn w:val="Standardowy"/>
    <w:next w:val="Tabela-Siatka"/>
    <w:uiPriority w:val="59"/>
    <w:rsid w:val="00B540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10585978">
      <w:bodyDiv w:val="1"/>
      <w:marLeft w:val="0"/>
      <w:marRight w:val="0"/>
      <w:marTop w:val="0"/>
      <w:marBottom w:val="0"/>
      <w:divBdr>
        <w:top w:val="none" w:sz="0" w:space="0" w:color="auto"/>
        <w:left w:val="none" w:sz="0" w:space="0" w:color="auto"/>
        <w:bottom w:val="none" w:sz="0" w:space="0" w:color="auto"/>
        <w:right w:val="none" w:sz="0" w:space="0" w:color="auto"/>
      </w:divBdr>
    </w:div>
    <w:div w:id="477499454">
      <w:bodyDiv w:val="1"/>
      <w:marLeft w:val="0"/>
      <w:marRight w:val="0"/>
      <w:marTop w:val="0"/>
      <w:marBottom w:val="0"/>
      <w:divBdr>
        <w:top w:val="none" w:sz="0" w:space="0" w:color="auto"/>
        <w:left w:val="none" w:sz="0" w:space="0" w:color="auto"/>
        <w:bottom w:val="none" w:sz="0" w:space="0" w:color="auto"/>
        <w:right w:val="none" w:sz="0" w:space="0" w:color="auto"/>
      </w:divBdr>
    </w:div>
    <w:div w:id="585462276">
      <w:bodyDiv w:val="1"/>
      <w:marLeft w:val="0"/>
      <w:marRight w:val="0"/>
      <w:marTop w:val="0"/>
      <w:marBottom w:val="0"/>
      <w:divBdr>
        <w:top w:val="none" w:sz="0" w:space="0" w:color="auto"/>
        <w:left w:val="none" w:sz="0" w:space="0" w:color="auto"/>
        <w:bottom w:val="none" w:sz="0" w:space="0" w:color="auto"/>
        <w:right w:val="none" w:sz="0" w:space="0" w:color="auto"/>
      </w:divBdr>
    </w:div>
    <w:div w:id="615404680">
      <w:bodyDiv w:val="1"/>
      <w:marLeft w:val="0"/>
      <w:marRight w:val="0"/>
      <w:marTop w:val="0"/>
      <w:marBottom w:val="0"/>
      <w:divBdr>
        <w:top w:val="none" w:sz="0" w:space="0" w:color="auto"/>
        <w:left w:val="none" w:sz="0" w:space="0" w:color="auto"/>
        <w:bottom w:val="none" w:sz="0" w:space="0" w:color="auto"/>
        <w:right w:val="none" w:sz="0" w:space="0" w:color="auto"/>
      </w:divBdr>
    </w:div>
    <w:div w:id="814638094">
      <w:bodyDiv w:val="1"/>
      <w:marLeft w:val="0"/>
      <w:marRight w:val="0"/>
      <w:marTop w:val="0"/>
      <w:marBottom w:val="0"/>
      <w:divBdr>
        <w:top w:val="none" w:sz="0" w:space="0" w:color="auto"/>
        <w:left w:val="none" w:sz="0" w:space="0" w:color="auto"/>
        <w:bottom w:val="none" w:sz="0" w:space="0" w:color="auto"/>
        <w:right w:val="none" w:sz="0" w:space="0" w:color="auto"/>
      </w:divBdr>
    </w:div>
    <w:div w:id="825437783">
      <w:bodyDiv w:val="1"/>
      <w:marLeft w:val="0"/>
      <w:marRight w:val="0"/>
      <w:marTop w:val="0"/>
      <w:marBottom w:val="0"/>
      <w:divBdr>
        <w:top w:val="none" w:sz="0" w:space="0" w:color="auto"/>
        <w:left w:val="none" w:sz="0" w:space="0" w:color="auto"/>
        <w:bottom w:val="none" w:sz="0" w:space="0" w:color="auto"/>
        <w:right w:val="none" w:sz="0" w:space="0" w:color="auto"/>
      </w:divBdr>
    </w:div>
    <w:div w:id="1139149095">
      <w:bodyDiv w:val="1"/>
      <w:marLeft w:val="0"/>
      <w:marRight w:val="0"/>
      <w:marTop w:val="0"/>
      <w:marBottom w:val="0"/>
      <w:divBdr>
        <w:top w:val="none" w:sz="0" w:space="0" w:color="auto"/>
        <w:left w:val="none" w:sz="0" w:space="0" w:color="auto"/>
        <w:bottom w:val="none" w:sz="0" w:space="0" w:color="auto"/>
        <w:right w:val="none" w:sz="0" w:space="0" w:color="auto"/>
      </w:divBdr>
    </w:div>
    <w:div w:id="1822572320">
      <w:bodyDiv w:val="1"/>
      <w:marLeft w:val="0"/>
      <w:marRight w:val="0"/>
      <w:marTop w:val="0"/>
      <w:marBottom w:val="0"/>
      <w:divBdr>
        <w:top w:val="none" w:sz="0" w:space="0" w:color="auto"/>
        <w:left w:val="none" w:sz="0" w:space="0" w:color="auto"/>
        <w:bottom w:val="none" w:sz="0" w:space="0" w:color="auto"/>
        <w:right w:val="none" w:sz="0" w:space="0" w:color="auto"/>
      </w:divBdr>
    </w:div>
    <w:div w:id="19959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76901-D65F-8B44-86C9-49870FC8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3657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OPŁATY OBOWIĄZUJĄCE W POLITECHNICE ŁÓDZKIEJ</vt:lpstr>
    </vt:vector>
  </TitlesOfParts>
  <Company>Hewlett-Packard Company</Company>
  <LinksUpToDate>false</LinksUpToDate>
  <CharactersWithSpaces>4258</CharactersWithSpaces>
  <SharedDoc>false</SharedDoc>
  <HLinks>
    <vt:vector size="6" baseType="variant">
      <vt:variant>
        <vt:i4>1114139</vt:i4>
      </vt:variant>
      <vt:variant>
        <vt:i4>6</vt:i4>
      </vt:variant>
      <vt:variant>
        <vt:i4>0</vt:i4>
      </vt:variant>
      <vt:variant>
        <vt:i4>5</vt:i4>
      </vt:variant>
      <vt:variant>
        <vt:lpwstr>http://www.p.lodz.pl/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OPŁATY OBOWIĄZUJĄCE W POLITECHNICE ŁÓDZKIEJ</dc:title>
  <dc:subject/>
  <dc:creator>nowy</dc:creator>
  <cp:keywords/>
  <cp:lastModifiedBy>Łukasz Wodarczyk S2</cp:lastModifiedBy>
  <cp:revision>2</cp:revision>
  <cp:lastPrinted>2021-01-19T11:06:00Z</cp:lastPrinted>
  <dcterms:created xsi:type="dcterms:W3CDTF">2021-06-28T07:42:00Z</dcterms:created>
  <dcterms:modified xsi:type="dcterms:W3CDTF">2021-06-28T07:42:00Z</dcterms:modified>
</cp:coreProperties>
</file>